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lang w:val="en-US" w:eastAsia="zh-CN"/>
        </w:rPr>
        <w:t>景德镇市退役军人事务局2022</w:t>
      </w:r>
      <w:r>
        <w:rPr>
          <w:rFonts w:hint="eastAsia" w:ascii="黑体" w:hAnsi="黑体" w:eastAsia="黑体" w:cs="黑体"/>
        </w:rPr>
        <w:t>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default" w:ascii="仿宋_GB2312" w:eastAsia="仿宋_GB2312" w:cs="Times New Roman"/>
          <w:sz w:val="32"/>
          <w:szCs w:val="32"/>
          <w:lang w:val="en-US" w:eastAsia="zh-CN"/>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二、机构设置及人员情况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eastAsia" w:ascii="黑体" w:hAnsi="宋体" w:eastAsia="黑体" w:cs="黑体"/>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景德镇市退役军人事务局2022</w:t>
      </w:r>
      <w:r>
        <w:rPr>
          <w:rFonts w:hint="eastAsia" w:ascii="黑体" w:hAnsi="宋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景德镇市退役军人事务局2022</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七、《财政拨款“三公”经费支出表》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ascii="仿宋_GB2312" w:hAnsi="宋体" w:eastAsia="仿宋_GB2312" w:cs="仿宋_GB2312"/>
          <w:sz w:val="32"/>
          <w:szCs w:val="32"/>
        </w:rPr>
        <w:t>八、《政府性基金预算支出表》</w:t>
      </w:r>
      <w:r>
        <w:rPr>
          <w:rFonts w:hint="eastAsia" w:ascii="仿宋_GB2312" w:hAnsi="宋体"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hint="eastAsia" w:ascii="仿宋_GB2312" w:hAnsi="宋体" w:eastAsia="仿宋_GB2312" w:cs="仿宋_GB2312"/>
          <w:sz w:val="32"/>
          <w:szCs w:val="32"/>
        </w:rPr>
        <w:t>九、</w:t>
      </w:r>
      <w:r>
        <w:rPr>
          <w:rFonts w:ascii="仿宋_GB2312" w:hAnsi="宋体" w:eastAsia="仿宋_GB2312" w:cs="仿宋_GB2312"/>
          <w:sz w:val="32"/>
          <w:szCs w:val="32"/>
        </w:rPr>
        <w:t>《</w:t>
      </w:r>
      <w:r>
        <w:rPr>
          <w:rFonts w:hint="eastAsia" w:ascii="仿宋_GB2312" w:hAnsi="宋体" w:eastAsia="仿宋_GB2312" w:cs="仿宋_GB2312"/>
          <w:sz w:val="32"/>
          <w:szCs w:val="32"/>
        </w:rPr>
        <w:t>部门整体支出绩效目标表</w:t>
      </w:r>
      <w:r>
        <w:rPr>
          <w:rFonts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ascii="仿宋_GB2312" w:hAnsi="宋体" w:eastAsia="仿宋_GB2312" w:cs="仿宋_GB2312"/>
          <w:sz w:val="32"/>
          <w:szCs w:val="32"/>
        </w:rPr>
      </w:pPr>
      <w:r>
        <w:rPr>
          <w:rFonts w:hint="eastAsia" w:ascii="仿宋_GB2312" w:hAnsi="宋体" w:eastAsia="仿宋_GB2312" w:cs="仿宋_GB2312"/>
          <w:sz w:val="32"/>
          <w:szCs w:val="32"/>
        </w:rPr>
        <w:t>十、</w:t>
      </w:r>
      <w:r>
        <w:rPr>
          <w:rFonts w:ascii="仿宋_GB2312" w:hAnsi="宋体" w:eastAsia="仿宋_GB2312" w:cs="仿宋_GB2312"/>
          <w:sz w:val="32"/>
          <w:szCs w:val="32"/>
        </w:rPr>
        <w:t>《</w:t>
      </w:r>
      <w:r>
        <w:rPr>
          <w:rFonts w:hint="eastAsia" w:ascii="仿宋_GB2312" w:hAnsi="宋体" w:eastAsia="仿宋_GB2312" w:cs="仿宋_GB2312"/>
          <w:sz w:val="32"/>
          <w:szCs w:val="32"/>
        </w:rPr>
        <w:t>项目绩效目标表</w:t>
      </w:r>
      <w:r>
        <w:rPr>
          <w:rFonts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w:t>
      </w:r>
      <w:r>
        <w:rPr>
          <w:rFonts w:hint="eastAsia" w:ascii="黑体" w:hAnsi="宋体" w:eastAsia="黑体" w:cs="黑体"/>
          <w:sz w:val="32"/>
          <w:szCs w:val="32"/>
        </w:rPr>
        <w:t>概况</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景德镇市退役军人事务局是市政府工作部门，主要职责是：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(一)拟订全市退役军人思想政治、管理保障和安置优抚等工作地方性法规规章和政策并组织实施，褒扬彰显退役军人为党、国家和人民牺牲奉献的精神风范和价值导向。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(二)负责全市军队转业干部、复员干部、离休退休干部、退役士兵和无军籍退休退职职工的移交安置工作和自主择业、就业退役军人服务管理等有关工作。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 xml:space="preserve">(三)组织指导全市退役军人教育培训工作，协调扶持退役军人和随军随调家属就业创业。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(四)会同有关部门拟定全市退役军人特殊保障政策并组织落实。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(五)组织协调落实军队移交我市符合条件的离休退休干部住房补贴和无军籍退休退职职工住房维修、房租补贴发放等服务保障工作，以及退役军人医疗保障、社会保险等待遇保障工作。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六)组织指导全市伤病残退役军人服务管理和抚恤工作，会同有关部门拟订有关退役军人医疗、疗养、养老等机构的规划政策并指导实施。承担不适宜继续服役的伤病残军人相关工作。组织指导军供服务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(七)组织指导全市拥军优属工作。负责现役军人、退役军人、军队文职人员和军属优待、抚恤等工作，落实国民党抗战老兵等有关人员优待政策。</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(八)负责烈士及退役军人荣誉奖励、军人公墓管理维护</w:t>
      </w:r>
      <w:r>
        <w:rPr>
          <w:rFonts w:hint="eastAsia" w:ascii="仿宋_GB2312" w:hAnsi="宋体" w:eastAsia="仿宋_GB2312" w:cs="仿宋_GB2312"/>
          <w:b w:val="0"/>
          <w:bCs w:val="0"/>
          <w:sz w:val="32"/>
          <w:szCs w:val="32"/>
          <w:lang w:val="en-US" w:eastAsia="zh-CN"/>
        </w:rPr>
        <w:t>、</w:t>
      </w:r>
      <w:r>
        <w:rPr>
          <w:rFonts w:hint="default" w:ascii="仿宋_GB2312" w:hAnsi="宋体" w:eastAsia="仿宋_GB2312" w:cs="仿宋_GB2312"/>
          <w:b w:val="0"/>
          <w:bCs w:val="0"/>
          <w:sz w:val="32"/>
          <w:szCs w:val="32"/>
          <w:lang w:val="en-US" w:eastAsia="zh-CN"/>
        </w:rPr>
        <w:t>纪念活动等工作，依法承担英雄烈士保护相关工作，审核拟列入市级烈士纪念设施名录，按规定总结表彰和宣扬退役军人、退役军人工作单位和个人先进典型事迹。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(九)指导并监督检查退役军人相关法律法规和政策措施的落实，组织开展退役军人权益维护和有关人员的帮扶援助工作。指导督促所属单位进行安全管理。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(十)在征求市委组织、机构编制等部门意见基础上，牵头提出全市计划分配军队转业干部、符合条件的退役士兵的安置计划。</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lang w:val="en-US" w:eastAsia="zh-CN"/>
        </w:rPr>
        <w:t>十一</w:t>
      </w:r>
      <w:r>
        <w:rPr>
          <w:rFonts w:hint="default" w:ascii="仿宋_GB2312" w:hAnsi="宋体" w:eastAsia="仿宋_GB2312" w:cs="仿宋_GB2312"/>
          <w:b w:val="0"/>
          <w:bCs w:val="0"/>
          <w:sz w:val="32"/>
          <w:szCs w:val="32"/>
          <w:lang w:val="en-US" w:eastAsia="zh-CN"/>
        </w:rPr>
        <w:t>)完成市委、市政府交办的其他任务。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lang w:val="en-US" w:eastAsia="zh-CN"/>
        </w:rPr>
        <w:t>十二</w:t>
      </w:r>
      <w:r>
        <w:rPr>
          <w:rFonts w:hint="default" w:ascii="仿宋_GB2312" w:hAnsi="宋体" w:eastAsia="仿宋_GB2312" w:cs="仿宋_GB2312"/>
          <w:b w:val="0"/>
          <w:bCs w:val="0"/>
          <w:sz w:val="32"/>
          <w:szCs w:val="32"/>
          <w:lang w:val="en-US" w:eastAsia="zh-CN"/>
        </w:rPr>
        <w:t>)职能转变。市退役军人事务局应加强全市退役军人</w:t>
      </w:r>
      <w:r>
        <w:rPr>
          <w:rFonts w:hint="eastAsia" w:ascii="仿宋_GB2312" w:hAnsi="宋体" w:eastAsia="仿宋_GB2312" w:cs="仿宋_GB2312"/>
          <w:b w:val="0"/>
          <w:bCs w:val="0"/>
          <w:sz w:val="32"/>
          <w:szCs w:val="32"/>
          <w:lang w:val="en-US" w:eastAsia="zh-CN"/>
        </w:rPr>
        <w:t>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二、机构设置及人员情况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2022年景德镇市退役军人事务局</w:t>
      </w:r>
      <w:r>
        <w:rPr>
          <w:rFonts w:hint="eastAsia" w:ascii="仿宋_GB2312" w:hAnsi="仿宋_GB2312" w:eastAsia="仿宋_GB2312" w:cs="仿宋_GB2312"/>
          <w:sz w:val="32"/>
          <w:szCs w:val="32"/>
        </w:rPr>
        <w:t>共有预算单位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包括景德镇市退役军人事务局本级和3个二级预算单位，二级预算单位具体包括：景德镇市退役军人服务中心、景德镇市军队离休退休干部休养所、景德镇军供站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sz w:val="32"/>
          <w:szCs w:val="32"/>
        </w:rPr>
      </w:pPr>
      <w:r>
        <w:rPr>
          <w:rFonts w:hint="eastAsia" w:ascii="仿宋_GB2312" w:hAnsi="仿宋_GB2312" w:eastAsia="仿宋_GB2312" w:cs="仿宋_GB2312"/>
          <w:sz w:val="32"/>
          <w:szCs w:val="32"/>
        </w:rPr>
        <w:t>编制数为</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人数</w:t>
      </w:r>
      <w:r>
        <w:rPr>
          <w:rFonts w:hint="eastAsia" w:ascii="仿宋_GB2312" w:hAnsi="仿宋_GB2312" w:eastAsia="仿宋_GB2312" w:cs="仿宋_GB2312"/>
          <w:sz w:val="32"/>
          <w:szCs w:val="32"/>
        </w:rPr>
        <w:t>14人、参照公务员管理事业编制</w:t>
      </w:r>
      <w:r>
        <w:rPr>
          <w:rFonts w:hint="eastAsia" w:ascii="仿宋_GB2312" w:hAnsi="仿宋_GB2312" w:eastAsia="仿宋_GB2312" w:cs="仿宋_GB2312"/>
          <w:sz w:val="32"/>
          <w:szCs w:val="32"/>
          <w:lang w:val="en-US" w:eastAsia="zh-CN"/>
        </w:rPr>
        <w:t>人数</w:t>
      </w:r>
      <w:r>
        <w:rPr>
          <w:rFonts w:hint="eastAsia" w:ascii="仿宋_GB2312" w:hAnsi="仿宋_GB2312" w:eastAsia="仿宋_GB2312" w:cs="仿宋_GB2312"/>
          <w:sz w:val="32"/>
          <w:szCs w:val="32"/>
        </w:rPr>
        <w:t>8人、全额补助事业编制</w:t>
      </w:r>
      <w:r>
        <w:rPr>
          <w:rFonts w:hint="eastAsia" w:ascii="仿宋_GB2312" w:hAnsi="仿宋_GB2312" w:eastAsia="仿宋_GB2312" w:cs="仿宋_GB2312"/>
          <w:sz w:val="32"/>
          <w:szCs w:val="32"/>
          <w:lang w:val="en-US" w:eastAsia="zh-CN"/>
        </w:rPr>
        <w:t>人数47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在职</w:t>
      </w:r>
      <w:r>
        <w:rPr>
          <w:rFonts w:hint="eastAsia" w:ascii="仿宋_GB2312" w:hAnsi="仿宋_GB2312" w:eastAsia="仿宋_GB2312" w:cs="仿宋_GB2312"/>
          <w:sz w:val="32"/>
          <w:szCs w:val="32"/>
          <w:lang w:val="en-US" w:eastAsia="zh-CN"/>
        </w:rPr>
        <w:t>人数小计62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val="en-US" w:eastAsia="zh-CN"/>
        </w:rPr>
        <w:t>在职人数13</w:t>
      </w:r>
      <w:r>
        <w:rPr>
          <w:rFonts w:hint="eastAsia" w:ascii="仿宋_GB2312" w:hAnsi="仿宋_GB2312" w:eastAsia="仿宋_GB2312" w:cs="仿宋_GB2312"/>
          <w:sz w:val="32"/>
          <w:szCs w:val="32"/>
        </w:rPr>
        <w:t>人、参照公务员管理</w:t>
      </w:r>
      <w:r>
        <w:rPr>
          <w:rFonts w:hint="eastAsia" w:ascii="仿宋_GB2312" w:hAnsi="仿宋_GB2312" w:eastAsia="仿宋_GB2312" w:cs="仿宋_GB2312"/>
          <w:sz w:val="32"/>
          <w:szCs w:val="32"/>
          <w:lang w:val="en-US" w:eastAsia="zh-CN"/>
        </w:rPr>
        <w:t>在职人数</w:t>
      </w:r>
      <w:r>
        <w:rPr>
          <w:rFonts w:hint="eastAsia" w:ascii="仿宋_GB2312" w:hAnsi="仿宋_GB2312" w:eastAsia="仿宋_GB2312" w:cs="仿宋_GB2312"/>
          <w:sz w:val="32"/>
          <w:szCs w:val="32"/>
        </w:rPr>
        <w:t>5人、全额补助</w:t>
      </w:r>
      <w:r>
        <w:rPr>
          <w:rFonts w:hint="eastAsia" w:ascii="仿宋_GB2312" w:hAnsi="仿宋_GB2312" w:eastAsia="仿宋_GB2312" w:cs="仿宋_GB2312"/>
          <w:sz w:val="32"/>
          <w:szCs w:val="32"/>
          <w:lang w:val="en-US" w:eastAsia="zh-CN"/>
        </w:rPr>
        <w:t>事业在职人数44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w:t>
      </w:r>
      <w:r>
        <w:rPr>
          <w:rFonts w:hint="eastAsia" w:ascii="仿宋_GB2312" w:hAnsi="仿宋_GB2312" w:eastAsia="仿宋_GB2312" w:cs="仿宋_GB2312"/>
          <w:sz w:val="32"/>
          <w:szCs w:val="32"/>
          <w:lang w:val="en-US" w:eastAsia="zh-CN"/>
        </w:rPr>
        <w:t>人数小计</w:t>
      </w:r>
      <w:r>
        <w:rPr>
          <w:rFonts w:hint="eastAsia" w:ascii="仿宋_GB2312" w:hAnsi="仿宋_GB2312" w:eastAsia="仿宋_GB2312" w:cs="仿宋_GB2312"/>
          <w:sz w:val="32"/>
          <w:szCs w:val="32"/>
        </w:rPr>
        <w:t>20人。</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val="en-US" w:eastAsia="zh-CN"/>
        </w:rPr>
        <w:t xml:space="preserve">  景德镇市退役军人事务局2022年</w:t>
      </w:r>
      <w:r>
        <w:rPr>
          <w:rFonts w:hint="eastAsia" w:ascii="黑体" w:hAnsi="宋体" w:eastAsia="黑体" w:cs="黑体"/>
          <w:sz w:val="32"/>
          <w:szCs w:val="32"/>
        </w:rPr>
        <w:t>部门预算情况说明</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2022年</w:t>
      </w:r>
      <w:r>
        <w:rPr>
          <w:rFonts w:hint="eastAsia" w:ascii="仿宋_GB2312" w:hAnsi="宋体" w:eastAsia="仿宋_GB2312" w:cs="仿宋_GB2312"/>
          <w:b/>
          <w:bCs/>
          <w:sz w:val="32"/>
          <w:szCs w:val="32"/>
        </w:rPr>
        <w:t>部门预算收支情况说明</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（一）收入预算情况</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2022年景德镇市退役军人事务局</w:t>
      </w:r>
      <w:r>
        <w:rPr>
          <w:rFonts w:hint="eastAsia" w:ascii="仿宋_GB2312" w:hAnsi="仿宋_GB2312" w:eastAsia="仿宋_GB2312" w:cs="仿宋_GB2312"/>
          <w:sz w:val="32"/>
          <w:szCs w:val="32"/>
        </w:rPr>
        <w:t>收入预算总额</w:t>
      </w:r>
      <w:r>
        <w:rPr>
          <w:rFonts w:hint="eastAsia" w:ascii="仿宋_GB2312" w:hAnsi="仿宋_GB2312" w:eastAsia="仿宋_GB2312" w:cs="仿宋_GB2312"/>
          <w:sz w:val="32"/>
          <w:szCs w:val="32"/>
          <w:lang w:val="en-US" w:eastAsia="zh-CN"/>
        </w:rPr>
        <w:t>1284.77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较上年预算安排增加224.59万元；</w:t>
      </w:r>
      <w:r>
        <w:rPr>
          <w:rFonts w:hint="eastAsia" w:ascii="仿宋_GB2312" w:hAnsi="仿宋_GB2312" w:eastAsia="仿宋_GB2312" w:cs="仿宋_GB2312"/>
          <w:sz w:val="32"/>
          <w:szCs w:val="32"/>
        </w:rPr>
        <w:t>财政拨款收入</w:t>
      </w:r>
      <w:r>
        <w:rPr>
          <w:rFonts w:hint="eastAsia" w:ascii="仿宋_GB2312" w:hAnsi="仿宋_GB2312" w:eastAsia="仿宋_GB2312" w:cs="仿宋_GB2312"/>
          <w:sz w:val="32"/>
          <w:szCs w:val="32"/>
          <w:lang w:val="en-US" w:eastAsia="zh-CN"/>
        </w:rPr>
        <w:t>1284.77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较上年预算安排增加224.59万元。</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val="0"/>
          <w:bCs w:val="0"/>
          <w:sz w:val="32"/>
          <w:szCs w:val="32"/>
          <w:lang w:val="en-US" w:eastAsia="zh-CN"/>
        </w:rPr>
        <w:t>2022年景德镇市退役军人事务局</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val="en-US" w:eastAsia="zh-CN"/>
        </w:rPr>
        <w:t>1284.77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较上年预算安排增加224.59万元；其中：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按支出项目类别划分:基本支出</w:t>
      </w:r>
      <w:r>
        <w:rPr>
          <w:rFonts w:hint="eastAsia" w:ascii="仿宋_GB2312" w:hAnsi="仿宋_GB2312" w:eastAsia="仿宋_GB2312" w:cs="仿宋_GB2312"/>
          <w:sz w:val="32"/>
          <w:szCs w:val="32"/>
          <w:lang w:val="en-US" w:eastAsia="zh-CN"/>
        </w:rPr>
        <w:t>715.1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较上年预算安排增加34.92万元；其中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634.6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73.59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对个人和家庭的补助支出1.92万元，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项目支出569.66万元，较上年预算安排增加189.66万元；其中：</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rPr>
        <w:t>福利支出</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213.24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对个人和家庭的补助支出328万元，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按支出功能科目划分：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MERGEFIELD ${page400644146.ds247441498_REP_BGT_T_HC1100002019DXQ01_GNZJMX}</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社会保障和就业支出1176.68万元,较上年预算安排增加200.99万元;卫生健康支出48.69万元,较上年预算安排增加11.22万元;住房保障支出59.4万元,较上年预算安排增加12.38万元。</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2"/>
          <w:rFonts w:ascii="仿宋" w:hAnsi="仿宋" w:eastAsia="仿宋"/>
          <w:b/>
          <w:sz w:val="32"/>
          <w:szCs w:val="32"/>
        </w:rPr>
      </w:pPr>
      <w:r>
        <w:rPr>
          <w:rFonts w:hint="eastAsia" w:ascii="仿宋_GB2312" w:hAnsi="仿宋_GB2312" w:eastAsia="仿宋_GB2312" w:cs="仿宋_GB2312"/>
          <w:sz w:val="32"/>
          <w:szCs w:val="32"/>
          <w:lang w:val="en-US" w:eastAsia="zh-CN"/>
        </w:rPr>
        <w:t>按支出经济分类划分：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MERGEFIELD ${page400644146.ds247441498_REP_BGT_T_HC1100002019DXQ01_JJMX}</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工资福利支出653.02万元,较上年预算安排增加101.24万元;商品和服务支出286.83万元,较上年预算安排减少219.77万元;对个人和家庭的补助329.92万元,较上年预算安排增加328.12万元;资本性支出15万元,较上年预算安排增加15万元。</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color w:val="000000"/>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2"/>
        </w:rPr>
        <w:t>财政拨款支出情况</w:t>
      </w:r>
    </w:p>
    <w:p>
      <w:pPr>
        <w:keepNext w:val="0"/>
        <w:keepLines w:val="0"/>
        <w:pageBreakBefore w:val="0"/>
        <w:tabs>
          <w:tab w:val="left" w:pos="1162"/>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rPr>
        <w:t>财政拨款支出预算</w:t>
      </w:r>
      <w:r>
        <w:rPr>
          <w:rFonts w:hint="eastAsia" w:ascii="仿宋_GB2312" w:hAnsi="仿宋_GB2312" w:eastAsia="仿宋_GB2312" w:cs="仿宋_GB2312"/>
          <w:sz w:val="32"/>
          <w:szCs w:val="32"/>
          <w:lang w:val="en-US" w:eastAsia="zh-CN"/>
        </w:rPr>
        <w:t>预算1284.77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较上年预算安排增加224.59万元；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按支出功能科目划分：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MERGEFIELD ${page400644146.ds247441498_REP_BGT_T_HC1100002019DXQ01_GNZJMX}</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社会保障和就业支出1176.68万元,较上年预算安排增加200.99万元;卫生健康支出48.69万元,较上年预算安排增加11.22万元;住房保障支出59.4万元,较上年预算安排增加12.38万元。</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按支出项目类别划分:基本支出</w:t>
      </w:r>
      <w:r>
        <w:rPr>
          <w:rFonts w:hint="eastAsia" w:ascii="仿宋_GB2312" w:hAnsi="仿宋_GB2312" w:eastAsia="仿宋_GB2312" w:cs="仿宋_GB2312"/>
          <w:sz w:val="32"/>
          <w:szCs w:val="32"/>
          <w:lang w:val="en-US" w:eastAsia="zh-CN"/>
        </w:rPr>
        <w:t>715.1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较上年预算安排增加34.92万元；其中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634.6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73.59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对个人和家庭的补助支出1.92万元，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项目支出569.66万元，较上年预算安排增加189.66万元；其中：</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rPr>
        <w:t>福利支出</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213.24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对个人和家庭的补助支出328万元，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tabs>
          <w:tab w:val="left" w:pos="1162"/>
        </w:tabs>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四</w:t>
      </w:r>
      <w:r>
        <w:rPr>
          <w:rFonts w:hint="eastAsia" w:ascii="仿宋_GB2312" w:hAnsi="宋体" w:eastAsia="仿宋_GB2312" w:cs="仿宋_GB2312"/>
          <w:b/>
          <w:bCs/>
          <w:sz w:val="32"/>
          <w:szCs w:val="32"/>
        </w:rPr>
        <w:t>）政府</w:t>
      </w:r>
      <w:r>
        <w:rPr>
          <w:rFonts w:hint="eastAsia" w:ascii="仿宋_GB2312" w:hAnsi="宋体" w:eastAsia="仿宋_GB2312" w:cs="仿宋_GB2312"/>
          <w:b/>
          <w:bCs/>
          <w:sz w:val="32"/>
          <w:szCs w:val="32"/>
          <w:lang w:val="en-US" w:eastAsia="zh-CN"/>
        </w:rPr>
        <w:t>性</w:t>
      </w:r>
      <w:r>
        <w:rPr>
          <w:rFonts w:hint="eastAsia" w:ascii="仿宋_GB2312" w:hAnsi="宋体" w:eastAsia="仿宋_GB2312" w:cs="仿宋_GB2312"/>
          <w:b/>
          <w:bCs/>
          <w:sz w:val="32"/>
          <w:szCs w:val="32"/>
        </w:rPr>
        <w:t>基金情况</w:t>
      </w:r>
    </w:p>
    <w:p>
      <w:pPr>
        <w:keepNext w:val="0"/>
        <w:keepLines w:val="0"/>
        <w:pageBreakBefore w:val="0"/>
        <w:tabs>
          <w:tab w:val="left" w:pos="1162"/>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本部门没有使用政府性基金预算拨款安排的支出。</w:t>
      </w:r>
    </w:p>
    <w:p>
      <w:pPr>
        <w:keepNext w:val="0"/>
        <w:keepLines w:val="0"/>
        <w:pageBreakBefore w:val="0"/>
        <w:tabs>
          <w:tab w:val="left" w:pos="1162"/>
        </w:tabs>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cs="Times New Roman"/>
          <w:b/>
          <w:bCs/>
          <w:sz w:val="32"/>
          <w:szCs w:val="32"/>
          <w:lang w:val="en-US" w:eastAsia="zh-CN"/>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五</w:t>
      </w: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国有资本经营情况</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本部门没有使用国有资本经营预算拨款安排的支出。</w:t>
      </w:r>
    </w:p>
    <w:p>
      <w:pPr>
        <w:keepNext w:val="0"/>
        <w:keepLines w:val="0"/>
        <w:pageBreakBefore w:val="0"/>
        <w:tabs>
          <w:tab w:val="left" w:pos="1162"/>
        </w:tabs>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cs="Times New Roman"/>
          <w:b/>
          <w:bCs/>
          <w:sz w:val="32"/>
          <w:szCs w:val="32"/>
          <w:lang w:val="en-US" w:eastAsia="zh-CN"/>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六</w:t>
      </w: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机关运行经费等说明</w:t>
      </w:r>
    </w:p>
    <w:p>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2022年部门机关运行经费预算43.74万元，比2021年预算减少21.87万元，下降33.3%。</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七</w:t>
      </w: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rPr>
        <w:t>政府采购预算情况</w:t>
      </w: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2022年部门所属各单位政府采购总额</w:t>
      </w:r>
      <w:r>
        <w:rPr>
          <w:rFonts w:hint="eastAsia" w:ascii="仿宋" w:hAnsi="仿宋" w:eastAsia="仿宋"/>
          <w:kern w:val="0"/>
          <w:sz w:val="32"/>
          <w:szCs w:val="32"/>
          <w:lang w:val="en-US" w:eastAsia="zh-CN"/>
        </w:rPr>
        <w:t>17.4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kern w:val="0"/>
          <w:sz w:val="32"/>
          <w:szCs w:val="32"/>
          <w:lang w:val="en-US" w:eastAsia="zh-CN"/>
        </w:rPr>
        <w:t>17.4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p>
    <w:p>
      <w:pPr>
        <w:keepNext w:val="0"/>
        <w:keepLines w:val="0"/>
        <w:pageBreakBefore w:val="0"/>
        <w:tabs>
          <w:tab w:val="left" w:pos="1162"/>
        </w:tabs>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cs="Times New Roman"/>
          <w:b/>
          <w:bCs/>
          <w:sz w:val="32"/>
          <w:szCs w:val="32"/>
          <w:lang w:val="en-US" w:eastAsia="zh-CN"/>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八</w:t>
      </w: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w:t>
      </w:r>
      <w:r>
        <w:rPr>
          <w:rFonts w:ascii="Adobe 仿宋 Std R" w:hAnsi="Adobe 仿宋 Std R" w:eastAsia="Adobe 仿宋 Std R"/>
          <w:sz w:val="32"/>
          <w:szCs w:val="32"/>
        </w:rPr>
        <w:t>1</w:t>
      </w:r>
      <w:r>
        <w:rPr>
          <w:rFonts w:hint="eastAsia" w:ascii="Adobe 仿宋 Std R" w:hAnsi="Adobe 仿宋 Std R" w:eastAsia="Adobe 仿宋 Std R"/>
          <w:sz w:val="32"/>
          <w:szCs w:val="32"/>
        </w:rPr>
        <w:t>年</w:t>
      </w:r>
      <w:r>
        <w:rPr>
          <w:rFonts w:ascii="Adobe 仿宋 Std R" w:hAnsi="Adobe 仿宋 Std R" w:eastAsia="Adobe 仿宋 Std R"/>
          <w:sz w:val="32"/>
          <w:szCs w:val="32"/>
        </w:rPr>
        <w:t>8</w:t>
      </w:r>
      <w:r>
        <w:rPr>
          <w:rFonts w:hint="eastAsia" w:ascii="Adobe 仿宋 Std R" w:hAnsi="Adobe 仿宋 Std R" w:eastAsia="Adobe 仿宋 Std R"/>
          <w:sz w:val="32"/>
          <w:szCs w:val="32"/>
        </w:rPr>
        <w:t>月</w:t>
      </w:r>
      <w:r>
        <w:rPr>
          <w:rFonts w:ascii="Adobe 仿宋 Std R" w:hAnsi="Adobe 仿宋 Std R" w:eastAsia="Adobe 仿宋 Std R"/>
          <w:sz w:val="32"/>
          <w:szCs w:val="32"/>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kern w:val="0"/>
          <w:sz w:val="32"/>
          <w:szCs w:val="32"/>
          <w:lang w:val="en-US" w:eastAsia="zh-CN"/>
        </w:rPr>
        <w:t>0</w:t>
      </w:r>
      <w:r>
        <w:rPr>
          <w:rFonts w:ascii="Adobe 仿宋 Std R" w:hAnsi="Adobe 仿宋 Std R" w:eastAsia="Adobe 仿宋 Std R"/>
          <w:sz w:val="32"/>
          <w:szCs w:val="32"/>
        </w:rPr>
        <w:t>辆,其中：一般公务用车实有数</w:t>
      </w:r>
      <w:r>
        <w:rPr>
          <w:rFonts w:hint="eastAsia" w:ascii="仿宋" w:hAnsi="仿宋" w:eastAsia="仿宋"/>
          <w:kern w:val="0"/>
          <w:sz w:val="32"/>
          <w:szCs w:val="32"/>
          <w:lang w:val="en-US" w:eastAsia="zh-CN"/>
        </w:rPr>
        <w:t>0</w:t>
      </w:r>
      <w:r>
        <w:rPr>
          <w:rFonts w:ascii="Adobe 仿宋 Std R" w:hAnsi="Adobe 仿宋 Std R" w:eastAsia="Adobe 仿宋 Std R"/>
          <w:sz w:val="32"/>
          <w:szCs w:val="32"/>
        </w:rPr>
        <w:t>辆。</w:t>
      </w:r>
      <w:r>
        <w:fldChar w:fldCharType="end"/>
      </w:r>
    </w:p>
    <w:p>
      <w:pPr>
        <w:ind w:firstLine="642"/>
        <w:rPr>
          <w:rFonts w:ascii="仿宋_GB2312" w:eastAsia="仿宋_GB2312"/>
          <w:sz w:val="32"/>
          <w:szCs w:val="30"/>
        </w:rPr>
      </w:pPr>
      <w:r>
        <w:rPr>
          <w:rFonts w:hint="eastAsia" w:ascii="Adobe 仿宋 Std R" w:hAnsi="Adobe 仿宋 Std R" w:eastAsia="Adobe 仿宋 Std R"/>
          <w:sz w:val="32"/>
          <w:szCs w:val="32"/>
        </w:rPr>
        <w:t>2022年部门预算安排购置车辆</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pPr>
        <w:numPr>
          <w:ilvl w:val="0"/>
          <w:numId w:val="0"/>
        </w:numPr>
        <w:ind w:firstLine="643" w:firstLineChars="200"/>
        <w:jc w:val="left"/>
        <w:rPr>
          <w:rFonts w:hint="default" w:ascii="仿宋" w:hAnsi="仿宋" w:eastAsia="仿宋"/>
          <w:b/>
          <w:bCs/>
          <w:kern w:val="0"/>
          <w:sz w:val="32"/>
          <w:szCs w:val="32"/>
          <w:lang w:val="en-US" w:eastAsia="zh-CN"/>
        </w:rPr>
      </w:pPr>
      <w:r>
        <w:rPr>
          <w:rFonts w:hint="eastAsia" w:ascii="仿宋" w:hAnsi="仿宋" w:eastAsia="仿宋"/>
          <w:b/>
          <w:bCs/>
          <w:kern w:val="0"/>
          <w:sz w:val="32"/>
          <w:szCs w:val="32"/>
          <w:lang w:val="en-US" w:eastAsia="zh-CN"/>
        </w:rPr>
        <w:t>（九）退役士兵安置项目情况说明</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根据《江西省人民政府办公厅关于做好自主就业退役士兵一次性经济补助工作的通知》（赣府厅字〔2013〕7号）和《景德镇市市本级城镇退役士兵安置暂行办法》的有关规定，当年退役士兵接收安置总数确定应发放经济补助的人数，对在部队选择自主就业的退役士兵补助标准4500元/年；对在部队未选择自主就业的退役士兵，办理自谋职业发放标准为义务期20000元，每超期服役一年补助3000元执行。</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2）立项依据：《江西省人民政府办公厅关于做好自主就业退役士兵一次性经济补助工作的通知》（赣府厅字〔2013〕7号）</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3）实施主体：景德镇市退役军人事务局</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4）实施方案：根据有关规定，合理合规发放补助</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5）实施周期：1年</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6）年度预算安排：280万元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7）绩效目标和指标：目标1：自主就业退役士兵应收尽收率100%；目标2：自谋职业退役士兵应收尽收率100%；目标3：自主就业退役士兵补助发放合规率100%；目标4：自谋职业退役士兵补助发放合规率100%。</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val="en-US" w:eastAsia="zh-CN"/>
        </w:rPr>
        <w:t>二、2022年</w:t>
      </w:r>
      <w:r>
        <w:rPr>
          <w:rFonts w:hint="eastAsia" w:ascii="仿宋_GB2312" w:hAnsi="宋体" w:eastAsia="仿宋_GB2312" w:cs="仿宋_GB2312"/>
          <w:b/>
          <w:bCs/>
          <w:sz w:val="32"/>
          <w:szCs w:val="32"/>
        </w:rPr>
        <w:t>“三公”经费预算情况说明</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2022年景德镇市退役军人事务局“三公”经费一般公共预算安排8.68万元。其中：</w:t>
      </w:r>
    </w:p>
    <w:p>
      <w:pPr>
        <w:ind w:firstLine="640" w:firstLineChars="200"/>
        <w:jc w:val="left"/>
        <w:rPr>
          <w:rFonts w:hint="default" w:ascii="仿宋" w:hAnsi="仿宋" w:eastAsia="仿宋"/>
          <w:bCs/>
          <w:sz w:val="32"/>
          <w:szCs w:val="32"/>
          <w:lang w:val="en-US" w:eastAsia="zh-CN"/>
        </w:rPr>
      </w:pPr>
      <w:r>
        <w:rPr>
          <w:rFonts w:ascii="仿宋" w:hAnsi="仿宋" w:eastAsia="仿宋"/>
          <w:bCs/>
          <w:sz w:val="32"/>
          <w:szCs w:val="32"/>
        </w:rPr>
        <w:t>因公出国</w:t>
      </w:r>
      <w:r>
        <w:rPr>
          <w:rFonts w:hint="eastAsia" w:ascii="仿宋" w:hAnsi="仿宋" w:eastAsia="仿宋"/>
          <w:kern w:val="0"/>
          <w:sz w:val="32"/>
          <w:szCs w:val="32"/>
          <w:lang w:val="en-US" w:eastAsia="zh-CN"/>
        </w:rPr>
        <w:t>0</w:t>
      </w:r>
      <w:r>
        <w:rPr>
          <w:rFonts w:ascii="仿宋" w:hAnsi="仿宋" w:eastAsia="仿宋"/>
          <w:bCs/>
          <w:sz w:val="32"/>
          <w:szCs w:val="32"/>
        </w:rPr>
        <w:t>万元,比上年增（减）</w:t>
      </w:r>
      <w:r>
        <w:rPr>
          <w:rFonts w:hint="eastAsia" w:ascii="仿宋" w:hAnsi="仿宋" w:eastAsia="仿宋"/>
          <w:kern w:val="0"/>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3.5</w:t>
      </w:r>
      <w:r>
        <w:rPr>
          <w:rFonts w:ascii="仿宋" w:hAnsi="仿宋" w:eastAsia="仿宋"/>
          <w:bCs/>
          <w:sz w:val="32"/>
          <w:szCs w:val="32"/>
        </w:rPr>
        <w:t>万元,比上年减</w:t>
      </w:r>
      <w:r>
        <w:rPr>
          <w:rFonts w:hint="eastAsia" w:ascii="仿宋" w:hAnsi="仿宋" w:eastAsia="仿宋"/>
          <w:bCs/>
          <w:sz w:val="32"/>
          <w:szCs w:val="32"/>
          <w:lang w:val="en-US" w:eastAsia="zh-CN"/>
        </w:rPr>
        <w:t>少</w:t>
      </w:r>
      <w:r>
        <w:rPr>
          <w:rFonts w:hint="eastAsia" w:ascii="仿宋" w:hAnsi="仿宋" w:eastAsia="仿宋"/>
          <w:kern w:val="0"/>
          <w:sz w:val="32"/>
          <w:szCs w:val="32"/>
          <w:lang w:val="en-US" w:eastAsia="zh-CN"/>
        </w:rPr>
        <w:t>1.2</w:t>
      </w:r>
      <w:r>
        <w:rPr>
          <w:rFonts w:ascii="仿宋" w:hAnsi="仿宋" w:eastAsia="仿宋"/>
          <w:bCs/>
          <w:sz w:val="32"/>
          <w:szCs w:val="32"/>
        </w:rPr>
        <w:t>万元，主要原因是：</w:t>
      </w:r>
      <w:r>
        <w:rPr>
          <w:rFonts w:hint="eastAsia" w:ascii="仿宋_GB2312" w:hAnsi="仿宋_GB2312" w:eastAsia="仿宋_GB2312" w:cs="仿宋_GB2312"/>
          <w:sz w:val="32"/>
          <w:szCs w:val="32"/>
          <w:lang w:val="en-US" w:eastAsia="zh-CN"/>
        </w:rPr>
        <w:t>缩减开支</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5.18</w:t>
      </w:r>
      <w:r>
        <w:rPr>
          <w:rFonts w:ascii="仿宋" w:hAnsi="仿宋" w:eastAsia="仿宋"/>
          <w:bCs/>
          <w:sz w:val="32"/>
          <w:szCs w:val="32"/>
        </w:rPr>
        <w:t>万元,比上年增（减）</w:t>
      </w:r>
      <w:r>
        <w:rPr>
          <w:rFonts w:hint="eastAsia" w:ascii="仿宋" w:hAnsi="仿宋" w:eastAsia="仿宋"/>
          <w:kern w:val="0"/>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separate"/>
      </w:r>
      <w:r>
        <w:rPr>
          <w:rFonts w:ascii="仿宋" w:hAnsi="仿宋" w:eastAsia="仿宋"/>
          <w:bCs/>
          <w:sz w:val="32"/>
          <w:szCs w:val="32"/>
        </w:rPr>
        <w:t>0</w:t>
      </w:r>
      <w:r>
        <w:fldChar w:fldCharType="end"/>
      </w:r>
      <w:r>
        <w:rPr>
          <w:rFonts w:ascii="仿宋" w:hAnsi="仿宋" w:eastAsia="仿宋"/>
          <w:bCs/>
          <w:sz w:val="32"/>
          <w:szCs w:val="32"/>
        </w:rPr>
        <w:t>万元,比上年增（减）</w:t>
      </w:r>
      <w:r>
        <w:rPr>
          <w:rFonts w:hint="eastAsia" w:ascii="仿宋" w:hAnsi="仿宋" w:eastAsia="仿宋"/>
          <w:kern w:val="0"/>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景德镇市退役军人事务局</w:t>
      </w:r>
      <w:r>
        <w:rPr>
          <w:rFonts w:hint="eastAsia" w:ascii="黑体" w:hAnsi="宋体" w:eastAsia="黑体" w:cs="黑体"/>
          <w:sz w:val="32"/>
          <w:szCs w:val="32"/>
          <w:lang w:val="en-US" w:eastAsia="zh-CN"/>
        </w:rPr>
        <w:t>2022年</w:t>
      </w:r>
      <w:r>
        <w:rPr>
          <w:rFonts w:hint="eastAsia" w:ascii="黑体" w:hAnsi="宋体" w:eastAsia="黑体" w:cs="黑体"/>
          <w:sz w:val="32"/>
          <w:szCs w:val="32"/>
        </w:rPr>
        <w:t>部门预算表</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4785" cy="3396615"/>
            <wp:effectExtent l="0" t="0" r="12065" b="13335"/>
            <wp:docPr id="4" name="图片 4" descr="1645603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5603567(1)"/>
                    <pic:cNvPicPr>
                      <a:picLocks noChangeAspect="1"/>
                    </pic:cNvPicPr>
                  </pic:nvPicPr>
                  <pic:blipFill>
                    <a:blip r:embed="rId5"/>
                    <a:stretch>
                      <a:fillRect/>
                    </a:stretch>
                  </pic:blipFill>
                  <pic:spPr>
                    <a:xfrm>
                      <a:off x="0" y="0"/>
                      <a:ext cx="5264785" cy="339661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1770" cy="4741545"/>
            <wp:effectExtent l="0" t="0" r="5080" b="1905"/>
            <wp:docPr id="5" name="图片 5" descr="1645603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5603587(1)"/>
                    <pic:cNvPicPr>
                      <a:picLocks noChangeAspect="1"/>
                    </pic:cNvPicPr>
                  </pic:nvPicPr>
                  <pic:blipFill>
                    <a:blip r:embed="rId6"/>
                    <a:stretch>
                      <a:fillRect/>
                    </a:stretch>
                  </pic:blipFill>
                  <pic:spPr>
                    <a:xfrm>
                      <a:off x="0" y="0"/>
                      <a:ext cx="5271770" cy="474154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9230" cy="3823335"/>
            <wp:effectExtent l="0" t="0" r="7620" b="5715"/>
            <wp:docPr id="6" name="图片 6" descr="1645603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5603604(1)"/>
                    <pic:cNvPicPr>
                      <a:picLocks noChangeAspect="1"/>
                    </pic:cNvPicPr>
                  </pic:nvPicPr>
                  <pic:blipFill>
                    <a:blip r:embed="rId7"/>
                    <a:stretch>
                      <a:fillRect/>
                    </a:stretch>
                  </pic:blipFill>
                  <pic:spPr>
                    <a:xfrm>
                      <a:off x="0" y="0"/>
                      <a:ext cx="5269230" cy="382333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1135" cy="2984500"/>
            <wp:effectExtent l="0" t="0" r="5715" b="6350"/>
            <wp:docPr id="7" name="图片 7" descr="1645603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5603618(1)"/>
                    <pic:cNvPicPr>
                      <a:picLocks noChangeAspect="1"/>
                    </pic:cNvPicPr>
                  </pic:nvPicPr>
                  <pic:blipFill>
                    <a:blip r:embed="rId8"/>
                    <a:stretch>
                      <a:fillRect/>
                    </a:stretch>
                  </pic:blipFill>
                  <pic:spPr>
                    <a:xfrm>
                      <a:off x="0" y="0"/>
                      <a:ext cx="5271135" cy="298450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9865" cy="4668520"/>
            <wp:effectExtent l="0" t="0" r="6985" b="17780"/>
            <wp:docPr id="8" name="图片 8" descr="1645603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45603638(1)"/>
                    <pic:cNvPicPr>
                      <a:picLocks noChangeAspect="1"/>
                    </pic:cNvPicPr>
                  </pic:nvPicPr>
                  <pic:blipFill>
                    <a:blip r:embed="rId9"/>
                    <a:stretch>
                      <a:fillRect/>
                    </a:stretch>
                  </pic:blipFill>
                  <pic:spPr>
                    <a:xfrm>
                      <a:off x="0" y="0"/>
                      <a:ext cx="5269865" cy="466852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5420" cy="5055235"/>
            <wp:effectExtent l="0" t="0" r="11430" b="12065"/>
            <wp:docPr id="9" name="图片 9" descr="1645603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5603662(1)"/>
                    <pic:cNvPicPr>
                      <a:picLocks noChangeAspect="1"/>
                    </pic:cNvPicPr>
                  </pic:nvPicPr>
                  <pic:blipFill>
                    <a:blip r:embed="rId10"/>
                    <a:stretch>
                      <a:fillRect/>
                    </a:stretch>
                  </pic:blipFill>
                  <pic:spPr>
                    <a:xfrm>
                      <a:off x="0" y="0"/>
                      <a:ext cx="5265420" cy="505523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3675" cy="1318260"/>
            <wp:effectExtent l="0" t="0" r="3175" b="15240"/>
            <wp:docPr id="10" name="图片 10" descr="1645603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45603685(1)"/>
                    <pic:cNvPicPr>
                      <a:picLocks noChangeAspect="1"/>
                    </pic:cNvPicPr>
                  </pic:nvPicPr>
                  <pic:blipFill>
                    <a:blip r:embed="rId11"/>
                    <a:stretch>
                      <a:fillRect/>
                    </a:stretch>
                  </pic:blipFill>
                  <pic:spPr>
                    <a:xfrm>
                      <a:off x="0" y="0"/>
                      <a:ext cx="5273675" cy="131826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0500" cy="1285240"/>
            <wp:effectExtent l="0" t="0" r="6350" b="10160"/>
            <wp:docPr id="11" name="图片 11" descr="164560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45603710"/>
                    <pic:cNvPicPr>
                      <a:picLocks noChangeAspect="1"/>
                    </pic:cNvPicPr>
                  </pic:nvPicPr>
                  <pic:blipFill>
                    <a:blip r:embed="rId12"/>
                    <a:stretch>
                      <a:fillRect/>
                    </a:stretch>
                  </pic:blipFill>
                  <pic:spPr>
                    <a:xfrm>
                      <a:off x="0" y="0"/>
                      <a:ext cx="5270500" cy="128524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8595" cy="8178800"/>
            <wp:effectExtent l="0" t="0" r="8255" b="12700"/>
            <wp:docPr id="13" name="图片 13" descr="1645603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45603804(1)"/>
                    <pic:cNvPicPr>
                      <a:picLocks noChangeAspect="1"/>
                    </pic:cNvPicPr>
                  </pic:nvPicPr>
                  <pic:blipFill>
                    <a:blip r:embed="rId13"/>
                    <a:stretch>
                      <a:fillRect/>
                    </a:stretch>
                  </pic:blipFill>
                  <pic:spPr>
                    <a:xfrm>
                      <a:off x="0" y="0"/>
                      <a:ext cx="5268595" cy="8178800"/>
                    </a:xfrm>
                    <a:prstGeom prst="rect">
                      <a:avLst/>
                    </a:prstGeom>
                  </pic:spPr>
                </pic:pic>
              </a:graphicData>
            </a:graphic>
          </wp:inline>
        </w:drawing>
      </w:r>
    </w:p>
    <w:p>
      <w:pPr>
        <w:pStyle w:val="2"/>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9865" cy="7997825"/>
            <wp:effectExtent l="0" t="0" r="6985" b="3175"/>
            <wp:docPr id="12" name="图片 12" descr="1645603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45603758(1)"/>
                    <pic:cNvPicPr>
                      <a:picLocks noChangeAspect="1"/>
                    </pic:cNvPicPr>
                  </pic:nvPicPr>
                  <pic:blipFill>
                    <a:blip r:embed="rId14"/>
                    <a:stretch>
                      <a:fillRect/>
                    </a:stretch>
                  </pic:blipFill>
                  <pic:spPr>
                    <a:xfrm>
                      <a:off x="0" y="0"/>
                      <a:ext cx="5269865" cy="7997825"/>
                    </a:xfrm>
                    <a:prstGeom prst="rect">
                      <a:avLst/>
                    </a:prstGeom>
                  </pic:spPr>
                </pic:pic>
              </a:graphicData>
            </a:graphic>
          </wp:inline>
        </w:drawing>
      </w:r>
    </w:p>
    <w:p>
      <w:pPr>
        <w:pStyle w:val="2"/>
        <w:rPr>
          <w:rFonts w:hint="eastAsia" w:ascii="黑体" w:hAnsi="宋体" w:eastAsia="黑体" w:cs="黑体"/>
          <w:sz w:val="32"/>
          <w:szCs w:val="32"/>
          <w:lang w:eastAsia="zh-CN"/>
        </w:rPr>
      </w:pPr>
    </w:p>
    <w:p>
      <w:pPr>
        <w:pStyle w:val="2"/>
        <w:rPr>
          <w:rFonts w:hint="eastAsia" w:ascii="黑体" w:hAnsi="宋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五</w:t>
      </w:r>
      <w:r>
        <w:rPr>
          <w:rFonts w:hint="eastAsia" w:ascii="仿宋_GB2312" w:eastAsia="仿宋_GB2312"/>
          <w:color w:val="000000"/>
          <w:sz w:val="32"/>
          <w:szCs w:val="30"/>
        </w:rPr>
        <w:t>）上级补助收入：反映事业单位从主管部门和上级单位取得的非财政补助收入。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六</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2021</w:t>
      </w:r>
      <w:r>
        <w:rPr>
          <w:rFonts w:hint="eastAsia" w:ascii="仿宋_GB2312" w:eastAsia="仿宋_GB2312"/>
          <w:color w:val="000000"/>
          <w:sz w:val="32"/>
          <w:szCs w:val="30"/>
        </w:rPr>
        <w:t>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二、支出科目</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lang w:eastAsia="zh-CN"/>
        </w:rPr>
        <w:t>）社会保障和就业支出（类）民政管理事务（款）其他民政管理事务支出（项）：反应</w:t>
      </w:r>
      <w:r>
        <w:rPr>
          <w:rFonts w:hint="eastAsia" w:ascii="仿宋" w:hAnsi="仿宋" w:eastAsia="仿宋" w:cs="仿宋"/>
          <w:color w:val="000000"/>
          <w:kern w:val="0"/>
          <w:sz w:val="32"/>
          <w:szCs w:val="32"/>
          <w:lang w:val="en-US" w:eastAsia="zh-CN"/>
        </w:rPr>
        <w:t>民政部门</w:t>
      </w:r>
      <w:r>
        <w:rPr>
          <w:rFonts w:hint="eastAsia" w:ascii="仿宋" w:hAnsi="仿宋" w:eastAsia="仿宋" w:cs="仿宋"/>
          <w:color w:val="000000"/>
          <w:kern w:val="0"/>
          <w:sz w:val="32"/>
          <w:szCs w:val="32"/>
          <w:lang w:eastAsia="zh-CN"/>
        </w:rPr>
        <w:t>接待来访、法制建设、政策宣传方面的支出以及开展优抚安置、救灾减灾、社会救助、社会福利、社会事务、信息化建设等</w:t>
      </w:r>
      <w:r>
        <w:rPr>
          <w:rFonts w:hint="eastAsia" w:ascii="仿宋" w:hAnsi="仿宋" w:eastAsia="仿宋" w:cs="仿宋"/>
          <w:color w:val="000000"/>
          <w:kern w:val="0"/>
          <w:sz w:val="32"/>
          <w:szCs w:val="32"/>
          <w:lang w:val="en-US" w:eastAsia="zh-CN"/>
        </w:rPr>
        <w:t>方面</w:t>
      </w:r>
      <w:r>
        <w:rPr>
          <w:rFonts w:hint="eastAsia" w:ascii="仿宋" w:hAnsi="仿宋" w:eastAsia="仿宋" w:cs="仿宋"/>
          <w:color w:val="000000"/>
          <w:kern w:val="0"/>
          <w:sz w:val="32"/>
          <w:szCs w:val="32"/>
          <w:lang w:eastAsia="zh-CN"/>
        </w:rPr>
        <w:t>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反映行政单位（包括实行公务员管理的事业单位）开支的离退休经费。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机关事业单位基本养老保险缴费支出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反映机关事业单位实施养老保险制度由单位缴纳的基本养老保险费支出。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lang w:eastAsia="zh-CN"/>
        </w:rPr>
        <w:t>社会保障和就业支出（类）抚恤（款）</w:t>
      </w:r>
      <w:r>
        <w:rPr>
          <w:rFonts w:hint="eastAsia" w:ascii="仿宋" w:hAnsi="仿宋" w:eastAsia="仿宋" w:cs="仿宋"/>
          <w:color w:val="000000"/>
          <w:kern w:val="0"/>
          <w:sz w:val="32"/>
          <w:szCs w:val="32"/>
          <w:lang w:val="en-US" w:eastAsia="zh-CN"/>
        </w:rPr>
        <w:t>其他优抚支出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反映春节及八一走访慰问项目支出。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退役士兵安置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对符合条件的退役士兵、转业士官的安置支出。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lang w:eastAsia="zh-CN"/>
        </w:rPr>
        <w:t>社会保障和就业支出（类）退役安置（款） 军队移交政府离退休干部管理机构（项）：反应民政部门管理的军休所的人员经费、公用经费以及管理机构用法建设经费等支出。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lang w:eastAsia="zh-CN"/>
        </w:rPr>
        <w:t>）社会保障和就业支出（类）退役安置（款） 军队</w:t>
      </w:r>
      <w:r>
        <w:rPr>
          <w:rFonts w:hint="eastAsia" w:ascii="仿宋" w:hAnsi="仿宋" w:eastAsia="仿宋" w:cs="仿宋"/>
          <w:color w:val="000000"/>
          <w:kern w:val="0"/>
          <w:sz w:val="32"/>
          <w:szCs w:val="32"/>
          <w:lang w:val="en-US" w:eastAsia="zh-CN"/>
        </w:rPr>
        <w:t>转业干部安置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反映军转干部安置、人员经费、自主择业退役金等方面的支出。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其他退役安置支出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反映上述项目以外的用于退役安置方面的支出。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行政运行</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反映行政单位的基本支出。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拥军优属</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反映拥军优属活动的支出。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部队供应</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反映军供站等用于保障军队运输和饮食供应的支出。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其他退役军人事务管理支出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反映除上述项目以外的其他用于退役军人事务管理方面的支出。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十四）</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反映其他用于其他社会保障和就业支出方面的支出。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（十五）卫生健康支出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反映财政部门安排的行政单位（包括实行公务员管理的事业单位）基本医疗保险缴费经费。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（十六）卫生健康支出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（十七）卫生健康支出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公务员医疗补助</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反映财政部门安排的公务员医疗补助经费。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（十八）卫生健康支出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其他行政事业单位医疗支出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反映除上述项目以外的其他用于行政事业单位医疗方面的支出。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bookmarkStart w:id="0" w:name="_GoBack"/>
      <w:bookmarkEnd w:id="0"/>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十九</w:t>
      </w:r>
      <w:r>
        <w:rPr>
          <w:rFonts w:hint="eastAsia" w:ascii="仿宋" w:hAnsi="仿宋" w:eastAsia="仿宋" w:cs="仿宋"/>
          <w:color w:val="000000"/>
          <w:kern w:val="0"/>
          <w:sz w:val="32"/>
          <w:szCs w:val="32"/>
          <w:lang w:eastAsia="zh-CN"/>
        </w:rPr>
        <w:t>）住房保障支出（类） 住房改革支出（款）住房公积金（项）：住房公积金的支出。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十）“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十一）机关运行经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WFjNGFmMDFjYjY3OTU5YTc5MGYxZmU2Y2M4ZTQifQ=="/>
  </w:docVars>
  <w:rsids>
    <w:rsidRoot w:val="19076E1D"/>
    <w:rsid w:val="000429DB"/>
    <w:rsid w:val="00066060"/>
    <w:rsid w:val="008110CC"/>
    <w:rsid w:val="00C04C9A"/>
    <w:rsid w:val="00CB427A"/>
    <w:rsid w:val="00F500B9"/>
    <w:rsid w:val="01992CBB"/>
    <w:rsid w:val="022502CD"/>
    <w:rsid w:val="05EB1609"/>
    <w:rsid w:val="05F445DA"/>
    <w:rsid w:val="07F45BAB"/>
    <w:rsid w:val="08EE0B31"/>
    <w:rsid w:val="0A326819"/>
    <w:rsid w:val="0C994C14"/>
    <w:rsid w:val="0CBF216E"/>
    <w:rsid w:val="0FCB58D0"/>
    <w:rsid w:val="11427CB1"/>
    <w:rsid w:val="139E3D52"/>
    <w:rsid w:val="162B4B72"/>
    <w:rsid w:val="18AC060B"/>
    <w:rsid w:val="19076E1D"/>
    <w:rsid w:val="19544016"/>
    <w:rsid w:val="1B6C389B"/>
    <w:rsid w:val="1EBD751D"/>
    <w:rsid w:val="1F117155"/>
    <w:rsid w:val="204B45CE"/>
    <w:rsid w:val="21466CC1"/>
    <w:rsid w:val="25705B71"/>
    <w:rsid w:val="26DB388D"/>
    <w:rsid w:val="2D4F2EA5"/>
    <w:rsid w:val="2DBB222D"/>
    <w:rsid w:val="2E211491"/>
    <w:rsid w:val="31D40AAE"/>
    <w:rsid w:val="34BB62BC"/>
    <w:rsid w:val="3AD730F4"/>
    <w:rsid w:val="3B253CE5"/>
    <w:rsid w:val="3BD871B8"/>
    <w:rsid w:val="3CF55A87"/>
    <w:rsid w:val="429A727D"/>
    <w:rsid w:val="4C0B7195"/>
    <w:rsid w:val="4D3B293C"/>
    <w:rsid w:val="51B40312"/>
    <w:rsid w:val="57CC144D"/>
    <w:rsid w:val="582B0E09"/>
    <w:rsid w:val="5A180EE8"/>
    <w:rsid w:val="5BF70508"/>
    <w:rsid w:val="5E380771"/>
    <w:rsid w:val="5E70036E"/>
    <w:rsid w:val="5F412AB4"/>
    <w:rsid w:val="61F32950"/>
    <w:rsid w:val="62B20F12"/>
    <w:rsid w:val="641E7445"/>
    <w:rsid w:val="644E0915"/>
    <w:rsid w:val="679A4C3E"/>
    <w:rsid w:val="703456C4"/>
    <w:rsid w:val="71452C49"/>
    <w:rsid w:val="726B0AB8"/>
    <w:rsid w:val="73224148"/>
    <w:rsid w:val="738F0D0E"/>
    <w:rsid w:val="776E35B0"/>
    <w:rsid w:val="78DB6F37"/>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Heading 2 Char"/>
    <w:basedOn w:val="7"/>
    <w:link w:val="3"/>
    <w:semiHidden/>
    <w:qFormat/>
    <w:uiPriority w:val="9"/>
    <w:rPr>
      <w:rFonts w:asciiTheme="majorHAnsi" w:hAnsiTheme="majorHAnsi" w:eastAsiaTheme="majorEastAsia" w:cstheme="majorBidi"/>
      <w:b/>
      <w:bCs/>
      <w:sz w:val="32"/>
      <w:szCs w:val="32"/>
    </w:rPr>
  </w:style>
  <w:style w:type="character" w:customStyle="1" w:styleId="10">
    <w:name w:val="Footer Char"/>
    <w:basedOn w:val="7"/>
    <w:link w:val="5"/>
    <w:semiHidden/>
    <w:qFormat/>
    <w:uiPriority w:val="99"/>
    <w:rPr>
      <w:rFonts w:cs="Calibri"/>
      <w:sz w:val="18"/>
      <w:szCs w:val="18"/>
    </w:rPr>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row_tree_level_4"/>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17</Pages>
  <Words>4846</Words>
  <Characters>5191</Characters>
  <Lines>0</Lines>
  <Paragraphs>0</Paragraphs>
  <TotalTime>2</TotalTime>
  <ScaleCrop>false</ScaleCrop>
  <LinksUpToDate>false</LinksUpToDate>
  <CharactersWithSpaces>5288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Can't stop.Ribbon</cp:lastModifiedBy>
  <dcterms:modified xsi:type="dcterms:W3CDTF">2023-05-16T02:15:37Z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785563ED090347D29313488BB3BE26FF_13</vt:lpwstr>
  </property>
</Properties>
</file>