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4F5D8">
      <w:pPr>
        <w:spacing w:line="600" w:lineRule="exact"/>
        <w:jc w:val="center"/>
        <w:rPr>
          <w:rFonts w:hint="eastAsia" w:ascii="黑体" w:hAnsi="黑体" w:eastAsia="黑体"/>
          <w:sz w:val="44"/>
          <w:szCs w:val="36"/>
          <w:lang w:val="en-US" w:eastAsia="zh-CN"/>
        </w:rPr>
      </w:pPr>
    </w:p>
    <w:p w14:paraId="6F80F1AF">
      <w:pPr>
        <w:spacing w:line="600" w:lineRule="exact"/>
        <w:jc w:val="center"/>
        <w:rPr>
          <w:rFonts w:hint="eastAsia" w:ascii="黑体" w:hAnsi="黑体" w:eastAsia="黑体"/>
          <w:sz w:val="44"/>
          <w:szCs w:val="36"/>
          <w:lang w:val="en-US" w:eastAsia="zh-CN"/>
        </w:rPr>
      </w:pPr>
      <w:r>
        <w:rPr>
          <w:rFonts w:hint="eastAsia" w:ascii="黑体" w:hAnsi="黑体" w:eastAsia="黑体"/>
          <w:sz w:val="44"/>
          <w:szCs w:val="36"/>
          <w:lang w:val="en-US" w:eastAsia="zh-CN"/>
        </w:rPr>
        <w:t>景德镇市退役军人事务局</w:t>
      </w:r>
    </w:p>
    <w:p w14:paraId="2D61C871">
      <w:pPr>
        <w:spacing w:line="600" w:lineRule="exact"/>
        <w:jc w:val="center"/>
        <w:rPr>
          <w:rFonts w:hint="eastAsia" w:ascii="黑体" w:eastAsia="黑体"/>
          <w:sz w:val="44"/>
          <w:szCs w:val="36"/>
        </w:rPr>
      </w:pPr>
      <w:r>
        <w:rPr>
          <w:rFonts w:hint="eastAsia" w:ascii="黑体" w:eastAsia="黑体"/>
          <w:sz w:val="44"/>
          <w:szCs w:val="36"/>
          <w:lang w:val="en-US" w:eastAsia="zh-CN"/>
        </w:rPr>
        <w:t>2021</w:t>
      </w:r>
      <w:r>
        <w:rPr>
          <w:rFonts w:hint="eastAsia" w:ascii="黑体" w:eastAsia="黑体"/>
          <w:sz w:val="44"/>
          <w:szCs w:val="36"/>
        </w:rPr>
        <w:t>年度决算</w:t>
      </w:r>
    </w:p>
    <w:p w14:paraId="773DAA32">
      <w:pPr>
        <w:spacing w:line="600" w:lineRule="exact"/>
        <w:jc w:val="center"/>
        <w:rPr>
          <w:rFonts w:hint="eastAsia" w:ascii="黑体" w:eastAsia="黑体"/>
          <w:sz w:val="44"/>
          <w:szCs w:val="36"/>
        </w:rPr>
      </w:pPr>
    </w:p>
    <w:p w14:paraId="6C275C77">
      <w:pPr>
        <w:spacing w:line="600" w:lineRule="exact"/>
        <w:jc w:val="center"/>
        <w:rPr>
          <w:rFonts w:hint="eastAsia" w:ascii="黑体" w:eastAsia="黑体"/>
          <w:sz w:val="40"/>
          <w:szCs w:val="36"/>
        </w:rPr>
      </w:pPr>
      <w:r>
        <w:rPr>
          <w:rFonts w:hint="eastAsia" w:ascii="黑体" w:eastAsia="黑体"/>
          <w:sz w:val="40"/>
          <w:szCs w:val="36"/>
        </w:rPr>
        <w:t>目    录</w:t>
      </w:r>
    </w:p>
    <w:p w14:paraId="43E61710">
      <w:pPr>
        <w:widowControl/>
        <w:spacing w:line="600" w:lineRule="exact"/>
        <w:ind w:firstLine="640"/>
        <w:jc w:val="left"/>
        <w:rPr>
          <w:rFonts w:hint="eastAsia" w:ascii="仿宋_GB2312" w:eastAsia="仿宋_GB2312"/>
          <w:sz w:val="32"/>
          <w:szCs w:val="30"/>
        </w:rPr>
      </w:pPr>
    </w:p>
    <w:p w14:paraId="681CBE18">
      <w:pPr>
        <w:widowControl/>
        <w:spacing w:line="600" w:lineRule="exact"/>
        <w:ind w:firstLine="640"/>
        <w:jc w:val="left"/>
        <w:rPr>
          <w:rFonts w:hint="eastAsia" w:ascii="黑体" w:hAnsi="黑体" w:eastAsia="黑体"/>
          <w:b/>
          <w:sz w:val="32"/>
          <w:szCs w:val="32"/>
        </w:rPr>
      </w:pPr>
      <w:r>
        <w:rPr>
          <w:rFonts w:hint="eastAsia" w:ascii="黑体" w:hAnsi="黑体" w:eastAsia="黑体"/>
          <w:b/>
          <w:sz w:val="32"/>
          <w:szCs w:val="32"/>
        </w:rPr>
        <w:t>第一部分 市退役军人事务局概况</w:t>
      </w:r>
    </w:p>
    <w:p w14:paraId="41CDBD10">
      <w:pPr>
        <w:widowControl/>
        <w:spacing w:line="600" w:lineRule="exact"/>
        <w:ind w:firstLine="640"/>
        <w:jc w:val="left"/>
        <w:rPr>
          <w:rFonts w:hint="eastAsia"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w:t>
      </w:r>
      <w:r>
        <w:rPr>
          <w:rFonts w:hint="eastAsia" w:ascii="仿宋" w:hAnsi="仿宋" w:eastAsia="仿宋"/>
          <w:sz w:val="32"/>
          <w:szCs w:val="30"/>
          <w:lang w:val="en-US" w:eastAsia="zh-CN"/>
        </w:rPr>
        <w:t>单位</w:t>
      </w:r>
      <w:r>
        <w:rPr>
          <w:rFonts w:hint="eastAsia" w:ascii="仿宋" w:hAnsi="仿宋" w:eastAsia="仿宋"/>
          <w:sz w:val="32"/>
          <w:szCs w:val="30"/>
        </w:rPr>
        <w:t>主要职责</w:t>
      </w:r>
    </w:p>
    <w:p w14:paraId="2D19807F">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w:t>
      </w:r>
      <w:r>
        <w:rPr>
          <w:rFonts w:hint="eastAsia" w:ascii="仿宋" w:hAnsi="仿宋" w:eastAsia="仿宋"/>
          <w:sz w:val="32"/>
          <w:szCs w:val="30"/>
          <w:lang w:val="en-US" w:eastAsia="zh-CN"/>
        </w:rPr>
        <w:t>单位</w:t>
      </w:r>
      <w:r>
        <w:rPr>
          <w:rFonts w:hint="eastAsia" w:ascii="仿宋" w:hAnsi="仿宋" w:eastAsia="仿宋" w:cs="宋体"/>
          <w:kern w:val="0"/>
          <w:sz w:val="32"/>
          <w:szCs w:val="32"/>
        </w:rPr>
        <w:t>基本情况</w:t>
      </w:r>
    </w:p>
    <w:p w14:paraId="1F5F3E5C">
      <w:pPr>
        <w:widowControl/>
        <w:spacing w:line="600" w:lineRule="exact"/>
        <w:ind w:firstLine="640"/>
        <w:jc w:val="left"/>
        <w:rPr>
          <w:rFonts w:hint="eastAsia" w:ascii="黑体" w:hAnsi="黑体" w:eastAsia="黑体"/>
          <w:b/>
          <w:bCs/>
          <w:sz w:val="32"/>
          <w:szCs w:val="32"/>
        </w:rPr>
      </w:pPr>
      <w:r>
        <w:rPr>
          <w:rFonts w:hint="eastAsia" w:ascii="黑体" w:hAnsi="黑体" w:eastAsia="黑体"/>
          <w:b/>
          <w:bCs/>
          <w:sz w:val="32"/>
          <w:szCs w:val="32"/>
        </w:rPr>
        <w:t xml:space="preserve">第二部分  </w:t>
      </w:r>
      <w:r>
        <w:rPr>
          <w:rFonts w:hint="eastAsia" w:ascii="黑体" w:hAnsi="黑体" w:eastAsia="黑体"/>
          <w:b/>
          <w:bCs/>
          <w:sz w:val="32"/>
          <w:szCs w:val="32"/>
          <w:lang w:eastAsia="zh-CN"/>
        </w:rPr>
        <w:t>2021</w:t>
      </w:r>
      <w:r>
        <w:rPr>
          <w:rFonts w:hint="eastAsia" w:ascii="黑体" w:hAnsi="黑体" w:eastAsia="黑体"/>
          <w:b/>
          <w:bCs/>
          <w:sz w:val="32"/>
          <w:szCs w:val="32"/>
        </w:rPr>
        <w:t>年度</w:t>
      </w:r>
      <w:r>
        <w:rPr>
          <w:rFonts w:hint="eastAsia" w:ascii="黑体" w:hAnsi="黑体" w:eastAsia="黑体"/>
          <w:b/>
          <w:bCs/>
          <w:sz w:val="32"/>
          <w:szCs w:val="32"/>
          <w:lang w:val="en-US" w:eastAsia="zh-CN"/>
        </w:rPr>
        <w:t>单位</w:t>
      </w:r>
      <w:r>
        <w:rPr>
          <w:rFonts w:hint="eastAsia" w:ascii="黑体" w:hAnsi="黑体" w:eastAsia="黑体"/>
          <w:b/>
          <w:bCs/>
          <w:sz w:val="32"/>
          <w:szCs w:val="32"/>
        </w:rPr>
        <w:t>决算表</w:t>
      </w:r>
    </w:p>
    <w:p w14:paraId="7156833A">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一、收入支出决算总表</w:t>
      </w:r>
    </w:p>
    <w:p w14:paraId="3E2411F7">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二、收入决算表</w:t>
      </w:r>
    </w:p>
    <w:p w14:paraId="7FDA9E31">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14:paraId="78BB41A1">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14:paraId="17C621B5">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14:paraId="7F6EE0FB">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14:paraId="3D6B56B7">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w:t>
      </w:r>
    </w:p>
    <w:p w14:paraId="5274607F">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表</w:t>
      </w:r>
    </w:p>
    <w:p w14:paraId="26E51EE8">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14:paraId="5F8BABCB">
      <w:pPr>
        <w:widowControl/>
        <w:numPr>
          <w:ilvl w:val="0"/>
          <w:numId w:val="0"/>
        </w:numPr>
        <w:spacing w:line="600" w:lineRule="exact"/>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w:t>
      </w:r>
      <w:r>
        <w:rPr>
          <w:rFonts w:hint="eastAsia" w:ascii="仿宋" w:hAnsi="仿宋" w:eastAsia="仿宋" w:cs="宋体"/>
          <w:kern w:val="0"/>
          <w:sz w:val="32"/>
          <w:szCs w:val="32"/>
          <w:lang w:val="en-US" w:eastAsia="zh-CN"/>
        </w:rPr>
        <w:t xml:space="preserve">       </w:t>
      </w:r>
      <w:r>
        <w:rPr>
          <w:rFonts w:hint="eastAsia" w:ascii="仿宋" w:hAnsi="仿宋" w:eastAsia="仿宋" w:cs="宋体"/>
          <w:kern w:val="0"/>
          <w:sz w:val="32"/>
          <w:szCs w:val="32"/>
        </w:rPr>
        <w:t>九、</w:t>
      </w:r>
      <w:r>
        <w:rPr>
          <w:rFonts w:hint="eastAsia" w:ascii="仿宋" w:hAnsi="仿宋" w:eastAsia="仿宋" w:cs="宋体"/>
          <w:kern w:val="0"/>
          <w:sz w:val="32"/>
          <w:szCs w:val="32"/>
          <w:lang w:val="en-US" w:eastAsia="zh-CN"/>
        </w:rPr>
        <w:t>国有资本经营预算财政拨款支出决算表</w:t>
      </w:r>
    </w:p>
    <w:p w14:paraId="3400F86B">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w:t>
      </w:r>
      <w:r>
        <w:rPr>
          <w:rFonts w:hint="eastAsia" w:ascii="仿宋" w:hAnsi="仿宋" w:eastAsia="仿宋" w:cs="宋体"/>
          <w:kern w:val="0"/>
          <w:sz w:val="32"/>
          <w:szCs w:val="32"/>
          <w:lang w:val="en-US" w:eastAsia="zh-CN"/>
        </w:rPr>
        <w:t>十</w:t>
      </w:r>
      <w:r>
        <w:rPr>
          <w:rFonts w:hint="eastAsia" w:ascii="仿宋" w:hAnsi="仿宋" w:eastAsia="仿宋" w:cs="宋体"/>
          <w:kern w:val="0"/>
          <w:sz w:val="32"/>
          <w:szCs w:val="32"/>
        </w:rPr>
        <w:t>、国有资产占用情况表</w:t>
      </w:r>
    </w:p>
    <w:p w14:paraId="4062337A">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b/>
          <w:bCs/>
          <w:sz w:val="32"/>
          <w:szCs w:val="32"/>
          <w:lang w:val="en-US" w:eastAsia="zh-CN"/>
        </w:rPr>
        <w:t>第三部分  2021年度单位决算情况说明</w:t>
      </w:r>
    </w:p>
    <w:p w14:paraId="0F2D86DE">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一、收入决算情况说明</w:t>
      </w:r>
    </w:p>
    <w:p w14:paraId="5B5A8BBC">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二、支出决算情况说明</w:t>
      </w:r>
    </w:p>
    <w:p w14:paraId="620CEAA3">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三、财政拨款支出决算情况说明</w:t>
      </w:r>
    </w:p>
    <w:p w14:paraId="34794490">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四、一般公共预算财政拨款基本支出决算情况说明</w:t>
      </w:r>
    </w:p>
    <w:p w14:paraId="1488ED35">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五、一般公共预算财政拨款“三公”经费支出决算</w:t>
      </w:r>
    </w:p>
    <w:p w14:paraId="2CD8BA73">
      <w:pPr>
        <w:widowControl/>
        <w:spacing w:line="600" w:lineRule="exact"/>
        <w:jc w:val="left"/>
        <w:rPr>
          <w:rFonts w:hint="eastAsia" w:ascii="仿宋" w:hAnsi="仿宋" w:eastAsia="仿宋"/>
          <w:sz w:val="32"/>
          <w:szCs w:val="30"/>
        </w:rPr>
      </w:pPr>
      <w:r>
        <w:rPr>
          <w:rFonts w:hint="eastAsia" w:ascii="仿宋" w:hAnsi="仿宋" w:eastAsia="仿宋"/>
          <w:sz w:val="32"/>
          <w:szCs w:val="30"/>
        </w:rPr>
        <w:t xml:space="preserve">    情况说明</w:t>
      </w:r>
    </w:p>
    <w:p w14:paraId="614F1EBC">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六、机关运行经费支出情况说明</w:t>
      </w:r>
    </w:p>
    <w:p w14:paraId="476E0CAA">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七、政府采购支出情况说明</w:t>
      </w:r>
    </w:p>
    <w:p w14:paraId="467DC4FE">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八、国有资产占用情况说明</w:t>
      </w:r>
    </w:p>
    <w:p w14:paraId="3E84EB74">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九、预算绩效情况说明</w:t>
      </w:r>
    </w:p>
    <w:p w14:paraId="500F494F">
      <w:pPr>
        <w:widowControl/>
        <w:spacing w:line="600" w:lineRule="exact"/>
        <w:ind w:firstLine="640"/>
        <w:jc w:val="left"/>
        <w:rPr>
          <w:rFonts w:ascii="仿宋" w:hAnsi="仿宋" w:eastAsia="仿宋"/>
          <w:sz w:val="32"/>
          <w:szCs w:val="30"/>
        </w:rPr>
      </w:pPr>
      <w:r>
        <w:rPr>
          <w:rFonts w:hint="eastAsia" w:ascii="黑体" w:hAnsi="黑体" w:eastAsia="黑体"/>
          <w:sz w:val="32"/>
          <w:szCs w:val="32"/>
        </w:rPr>
        <w:t>第四部分  名词解释</w:t>
      </w:r>
    </w:p>
    <w:p w14:paraId="21BA246C">
      <w:pPr>
        <w:ind w:firstLine="630"/>
        <w:jc w:val="center"/>
        <w:rPr>
          <w:rFonts w:hint="eastAsia" w:ascii="宋体" w:hAnsi="宋体"/>
          <w:b/>
          <w:sz w:val="36"/>
          <w:szCs w:val="36"/>
        </w:rPr>
      </w:pPr>
    </w:p>
    <w:p w14:paraId="70E06858">
      <w:pPr>
        <w:ind w:firstLine="630"/>
        <w:jc w:val="center"/>
        <w:rPr>
          <w:rFonts w:hint="eastAsia" w:ascii="宋体" w:hAnsi="宋体"/>
          <w:b/>
          <w:sz w:val="36"/>
          <w:szCs w:val="36"/>
        </w:rPr>
      </w:pPr>
    </w:p>
    <w:p w14:paraId="2B30E14D">
      <w:pPr>
        <w:ind w:firstLine="630"/>
        <w:jc w:val="center"/>
        <w:rPr>
          <w:rFonts w:hint="eastAsia" w:ascii="宋体" w:hAnsi="宋体"/>
          <w:b/>
          <w:sz w:val="36"/>
          <w:szCs w:val="36"/>
        </w:rPr>
      </w:pPr>
    </w:p>
    <w:p w14:paraId="36297E7B">
      <w:pPr>
        <w:ind w:firstLine="630"/>
        <w:jc w:val="center"/>
        <w:rPr>
          <w:rFonts w:hint="eastAsia" w:ascii="宋体" w:hAnsi="宋体"/>
          <w:b/>
          <w:sz w:val="36"/>
          <w:szCs w:val="36"/>
        </w:rPr>
      </w:pPr>
    </w:p>
    <w:p w14:paraId="18E2D7E6">
      <w:pPr>
        <w:ind w:firstLine="630"/>
        <w:jc w:val="center"/>
        <w:rPr>
          <w:rFonts w:hint="eastAsia" w:ascii="宋体" w:hAnsi="宋体"/>
          <w:b/>
          <w:sz w:val="36"/>
          <w:szCs w:val="36"/>
        </w:rPr>
      </w:pPr>
    </w:p>
    <w:p w14:paraId="16E5B9C0">
      <w:pPr>
        <w:ind w:firstLine="630"/>
        <w:jc w:val="center"/>
        <w:rPr>
          <w:rFonts w:hint="eastAsia" w:ascii="宋体" w:hAnsi="宋体"/>
          <w:b/>
          <w:sz w:val="36"/>
          <w:szCs w:val="36"/>
        </w:rPr>
      </w:pPr>
    </w:p>
    <w:p w14:paraId="3ADE97D6">
      <w:pPr>
        <w:ind w:firstLine="630"/>
        <w:jc w:val="center"/>
        <w:rPr>
          <w:rFonts w:hint="eastAsia" w:ascii="宋体" w:hAnsi="宋体"/>
          <w:b/>
          <w:sz w:val="36"/>
          <w:szCs w:val="36"/>
        </w:rPr>
      </w:pPr>
    </w:p>
    <w:p w14:paraId="56D7B11D">
      <w:pPr>
        <w:ind w:firstLine="630"/>
        <w:jc w:val="center"/>
        <w:rPr>
          <w:rFonts w:hint="eastAsia" w:ascii="宋体" w:hAnsi="宋体"/>
          <w:b/>
          <w:sz w:val="36"/>
          <w:szCs w:val="36"/>
        </w:rPr>
      </w:pPr>
    </w:p>
    <w:p w14:paraId="7E3387AE">
      <w:pPr>
        <w:jc w:val="both"/>
        <w:rPr>
          <w:rFonts w:hint="eastAsia" w:ascii="宋体" w:hAnsi="宋体"/>
          <w:b/>
          <w:sz w:val="36"/>
          <w:szCs w:val="36"/>
        </w:rPr>
      </w:pPr>
    </w:p>
    <w:p w14:paraId="3F1C8188">
      <w:pPr>
        <w:ind w:firstLine="630"/>
        <w:jc w:val="center"/>
        <w:rPr>
          <w:rFonts w:hint="eastAsia" w:ascii="宋体" w:hAnsi="宋体"/>
          <w:b/>
          <w:sz w:val="36"/>
          <w:szCs w:val="36"/>
        </w:rPr>
      </w:pPr>
    </w:p>
    <w:p w14:paraId="518D04B6">
      <w:pPr>
        <w:ind w:firstLine="630"/>
        <w:jc w:val="center"/>
        <w:rPr>
          <w:rFonts w:hint="eastAsia" w:ascii="宋体" w:hAnsi="宋体"/>
          <w:b/>
          <w:sz w:val="36"/>
          <w:szCs w:val="36"/>
        </w:rPr>
      </w:pPr>
    </w:p>
    <w:p w14:paraId="1DD1953B">
      <w:pPr>
        <w:widowControl/>
        <w:spacing w:line="580" w:lineRule="exact"/>
        <w:jc w:val="both"/>
        <w:rPr>
          <w:rFonts w:hint="eastAsia" w:ascii="宋体" w:hAnsi="宋体"/>
          <w:b/>
          <w:sz w:val="32"/>
          <w:szCs w:val="30"/>
        </w:rPr>
      </w:pPr>
    </w:p>
    <w:p w14:paraId="062DE54B">
      <w:pPr>
        <w:widowControl/>
        <w:spacing w:line="580" w:lineRule="exact"/>
        <w:jc w:val="center"/>
        <w:rPr>
          <w:rFonts w:hint="eastAsia" w:ascii="宋体" w:hAnsi="宋体"/>
          <w:b/>
          <w:sz w:val="32"/>
          <w:szCs w:val="30"/>
        </w:rPr>
      </w:pPr>
      <w:r>
        <w:rPr>
          <w:rFonts w:hint="eastAsia" w:ascii="宋体" w:hAnsi="宋体"/>
          <w:b/>
          <w:sz w:val="32"/>
          <w:szCs w:val="30"/>
        </w:rPr>
        <w:t>第一部分 市退役军人事务局概况</w:t>
      </w:r>
    </w:p>
    <w:p w14:paraId="531CF607">
      <w:pPr>
        <w:ind w:firstLine="630"/>
        <w:jc w:val="center"/>
        <w:rPr>
          <w:rFonts w:hint="eastAsia"/>
          <w:sz w:val="32"/>
          <w:szCs w:val="32"/>
        </w:rPr>
      </w:pPr>
    </w:p>
    <w:p w14:paraId="48E5E551">
      <w:pPr>
        <w:ind w:firstLine="630"/>
        <w:jc w:val="left"/>
        <w:rPr>
          <w:rFonts w:hint="eastAsia" w:ascii="黑体" w:hAnsi="黑体" w:eastAsia="黑体"/>
          <w:sz w:val="30"/>
          <w:szCs w:val="30"/>
        </w:rPr>
      </w:pPr>
      <w:r>
        <w:rPr>
          <w:rFonts w:hint="eastAsia" w:ascii="黑体" w:hAnsi="黑体" w:eastAsia="黑体"/>
          <w:sz w:val="30"/>
          <w:szCs w:val="30"/>
        </w:rPr>
        <w:t>一、</w:t>
      </w:r>
      <w:r>
        <w:rPr>
          <w:rFonts w:hint="eastAsia" w:ascii="黑体" w:hAnsi="黑体" w:eastAsia="黑体"/>
          <w:sz w:val="30"/>
          <w:szCs w:val="30"/>
          <w:lang w:val="en-US" w:eastAsia="zh-CN"/>
        </w:rPr>
        <w:t>单位</w:t>
      </w:r>
      <w:r>
        <w:rPr>
          <w:rFonts w:hint="eastAsia" w:ascii="黑体" w:hAnsi="黑体" w:eastAsia="黑体"/>
          <w:sz w:val="30"/>
          <w:szCs w:val="30"/>
        </w:rPr>
        <w:t>主要职能</w:t>
      </w:r>
    </w:p>
    <w:p w14:paraId="4AF9785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(一)拟订全市退役军人思想政治、管理保障和安置优抚等工作地方性法规规章和政策并组织实施，褒扬彰显退役军人为党、国家和人民牺牲奉献的精神风范和价值导向。</w:t>
      </w:r>
    </w:p>
    <w:p w14:paraId="662ADCA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(二)负责全市军队转业干部、复员干部、离休退休干部、退役士兵和无军籍退休退职职工的移交安置工作和自主择业、就业退役军人服务管理等有关工作。</w:t>
      </w:r>
    </w:p>
    <w:p w14:paraId="709A010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(三)组织指导全市退役军人教育培训工作，协调扶持退役军人和随军随调家属就业创业。                     </w:t>
      </w:r>
    </w:p>
    <w:p w14:paraId="6E7B8F6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(四)会同有关部门拟定全市退役军人特殊保障政策并组织落实。</w:t>
      </w:r>
    </w:p>
    <w:p w14:paraId="68F2FDE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(五)组织协调落实军队移交我市符合条件的离休退休干部住房补贴和无军籍退休退职职工住房维修、房租补贴发放等服务保障工作，以及退役军人医疗保障、社会保险等待遇保障工作。</w:t>
      </w:r>
    </w:p>
    <w:p w14:paraId="115817A1">
      <w:pPr>
        <w:keepNext w:val="0"/>
        <w:keepLines w:val="0"/>
        <w:pageBreakBefore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六)组织指导全市伤病残退役军人服务管理和抚恤工作，会同有关部门拟订有关退役军人医疗、疗养、养老等机构的规划政策并指导实施。承担不适宜继续服役的伤病残军人相关工作。组织指导军供服务保障工作。</w:t>
      </w:r>
    </w:p>
    <w:p w14:paraId="0122FE3C">
      <w:pPr>
        <w:keepNext w:val="0"/>
        <w:keepLines w:val="0"/>
        <w:pageBreakBefore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(七)组织指导全市拥军优属工作。负责现役军人、退役军人、军队文职人员和军属优待、抚恤等工作，落实国民党抗战老兵等有关人员优待政策。</w:t>
      </w:r>
    </w:p>
    <w:p w14:paraId="54076FDD">
      <w:pPr>
        <w:keepNext w:val="0"/>
        <w:keepLines w:val="0"/>
        <w:pageBreakBefore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八)负责烈士及退役军人荣誉奖励、军人公墓管理维护、纪念活动等工作，依法承担英雄烈士保护相关工作，审核拟列入市级烈士纪念设施名录，按规定总结表彰和宣扬退役军人、退役军人工作单位和个人先进典型事迹。</w:t>
      </w:r>
    </w:p>
    <w:p w14:paraId="2761E8A9">
      <w:pPr>
        <w:keepNext w:val="0"/>
        <w:keepLines w:val="0"/>
        <w:pageBreakBefore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(九)指导并监督检查退役军人相关法律法规和政策措施的落实，组织开展退役军人权益维护和有关人员的帮扶援助工作。指导督促所属单位进行安全管理。</w:t>
      </w:r>
    </w:p>
    <w:p w14:paraId="1D6801AE">
      <w:pPr>
        <w:keepNext w:val="0"/>
        <w:keepLines w:val="0"/>
        <w:pageBreakBefore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(十)在征求市委组织、机构编制等部门意见基础上，牵头提出全市计划分配军队转业干部、符合条件的退役士兵的安置计划。</w:t>
      </w:r>
    </w:p>
    <w:p w14:paraId="6BC0F2BE">
      <w:pPr>
        <w:keepNext w:val="0"/>
        <w:keepLines w:val="0"/>
        <w:pageBreakBefore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(十一)完成市委、市政府交办的其他任务。</w:t>
      </w:r>
    </w:p>
    <w:p w14:paraId="3836A179">
      <w:pPr>
        <w:keepNext w:val="0"/>
        <w:keepLines w:val="0"/>
        <w:pageBreakBefore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黑体" w:hAnsi="黑体" w:eastAsia="黑体"/>
          <w:sz w:val="30"/>
          <w:szCs w:val="30"/>
        </w:rPr>
      </w:pPr>
      <w:r>
        <w:rPr>
          <w:rFonts w:hint="eastAsia" w:ascii="仿宋" w:hAnsi="仿宋" w:eastAsia="仿宋" w:cs="仿宋"/>
          <w:b w:val="0"/>
          <w:bCs w:val="0"/>
          <w:sz w:val="30"/>
          <w:szCs w:val="30"/>
          <w:lang w:val="en-US" w:eastAsia="zh-CN"/>
        </w:rPr>
        <w:t>(十二)职能转变。市退役军人事务局应加强全市退役军人思想政治工作和服务保障体系建设，建立健全集中统一、职责清晰的退役军人管理保障体制，协调各方力量更好为军人军属服务，维护军人军属合法权益，让军人成为全社会尊崇的职业，褒扬彰显退役军人为党、国家和人民牺牲奉献的精神风范和价值导向，更好地为增强部队战斗力和凝聚力做好组织保障。</w:t>
      </w:r>
    </w:p>
    <w:p w14:paraId="4A6D0DF2">
      <w:pPr>
        <w:ind w:firstLine="630"/>
        <w:jc w:val="left"/>
        <w:rPr>
          <w:rFonts w:hint="eastAsia" w:ascii="黑体" w:hAnsi="黑体" w:eastAsia="黑体"/>
          <w:sz w:val="30"/>
          <w:szCs w:val="30"/>
        </w:rPr>
      </w:pPr>
      <w:r>
        <w:rPr>
          <w:rFonts w:hint="eastAsia" w:ascii="黑体" w:hAnsi="黑体" w:eastAsia="黑体"/>
          <w:sz w:val="30"/>
          <w:szCs w:val="30"/>
        </w:rPr>
        <w:t>二、</w:t>
      </w:r>
      <w:r>
        <w:rPr>
          <w:rFonts w:hint="eastAsia" w:ascii="黑体" w:hAnsi="黑体" w:eastAsia="黑体"/>
          <w:sz w:val="30"/>
          <w:szCs w:val="30"/>
          <w:lang w:val="en-US" w:eastAsia="zh-CN"/>
        </w:rPr>
        <w:t>单位</w:t>
      </w:r>
      <w:r>
        <w:rPr>
          <w:rFonts w:hint="eastAsia" w:ascii="黑体" w:hAnsi="黑体" w:eastAsia="黑体"/>
          <w:sz w:val="30"/>
          <w:szCs w:val="30"/>
        </w:rPr>
        <w:t>基本情况</w:t>
      </w:r>
    </w:p>
    <w:p w14:paraId="13031723">
      <w:pPr>
        <w:ind w:firstLine="630"/>
        <w:jc w:val="left"/>
        <w:rPr>
          <w:rFonts w:hint="default" w:ascii="仿宋" w:hAnsi="仿宋" w:eastAsia="仿宋"/>
          <w:sz w:val="30"/>
          <w:szCs w:val="30"/>
          <w:lang w:val="en-US" w:eastAsia="zh-CN"/>
        </w:rPr>
      </w:pPr>
      <w:r>
        <w:rPr>
          <w:rFonts w:hint="eastAsia" w:ascii="仿宋" w:hAnsi="仿宋" w:eastAsia="仿宋"/>
          <w:sz w:val="30"/>
          <w:szCs w:val="30"/>
          <w:lang w:val="en-US" w:eastAsia="zh-CN"/>
        </w:rPr>
        <w:t>本单位设立4个内设机构，分别是办公室、思想政治和权益维护科、移交安置和就业创业科、拥军优抚科。</w:t>
      </w:r>
    </w:p>
    <w:p w14:paraId="6747FFB9">
      <w:pPr>
        <w:ind w:firstLine="630"/>
        <w:jc w:val="left"/>
        <w:rPr>
          <w:rFonts w:hint="eastAsia" w:ascii="仿宋" w:hAnsi="仿宋" w:eastAsia="仿宋"/>
          <w:sz w:val="30"/>
          <w:szCs w:val="30"/>
          <w:lang w:eastAsia="zh-CN"/>
        </w:rPr>
      </w:pPr>
      <w:r>
        <w:rPr>
          <w:rFonts w:hint="eastAsia" w:ascii="仿宋" w:hAnsi="仿宋" w:eastAsia="仿宋"/>
          <w:sz w:val="30"/>
          <w:szCs w:val="30"/>
        </w:rPr>
        <w:t>本</w:t>
      </w:r>
      <w:r>
        <w:rPr>
          <w:rFonts w:hint="eastAsia" w:ascii="仿宋" w:hAnsi="仿宋" w:eastAsia="仿宋"/>
          <w:sz w:val="30"/>
          <w:szCs w:val="30"/>
          <w:lang w:val="en-US" w:eastAsia="zh-CN"/>
        </w:rPr>
        <w:t>单位</w:t>
      </w:r>
      <w:r>
        <w:rPr>
          <w:rFonts w:hint="eastAsia" w:ascii="仿宋" w:hAnsi="仿宋" w:eastAsia="仿宋"/>
          <w:sz w:val="30"/>
          <w:szCs w:val="30"/>
          <w:lang w:eastAsia="zh-CN"/>
        </w:rPr>
        <w:t>2021</w:t>
      </w:r>
      <w:r>
        <w:rPr>
          <w:rFonts w:hint="eastAsia" w:ascii="仿宋" w:hAnsi="仿宋" w:eastAsia="仿宋"/>
          <w:sz w:val="30"/>
          <w:szCs w:val="30"/>
        </w:rPr>
        <w:t>年年末实有人数</w:t>
      </w:r>
      <w:r>
        <w:rPr>
          <w:rFonts w:hint="eastAsia" w:ascii="仿宋" w:hAnsi="仿宋" w:eastAsia="仿宋"/>
          <w:sz w:val="30"/>
          <w:szCs w:val="30"/>
          <w:lang w:val="en-US" w:eastAsia="zh-CN"/>
        </w:rPr>
        <w:t>16</w:t>
      </w:r>
      <w:r>
        <w:rPr>
          <w:rFonts w:hint="eastAsia" w:ascii="仿宋" w:hAnsi="仿宋" w:eastAsia="仿宋"/>
          <w:sz w:val="30"/>
          <w:szCs w:val="30"/>
        </w:rPr>
        <w:t>人，其中在职人员</w:t>
      </w:r>
      <w:r>
        <w:rPr>
          <w:rFonts w:hint="eastAsia" w:ascii="仿宋" w:hAnsi="仿宋" w:eastAsia="仿宋"/>
          <w:sz w:val="30"/>
          <w:szCs w:val="30"/>
          <w:lang w:val="en-US" w:eastAsia="zh-CN"/>
        </w:rPr>
        <w:t>16</w:t>
      </w:r>
      <w:r>
        <w:rPr>
          <w:rFonts w:hint="eastAsia" w:ascii="仿宋" w:hAnsi="仿宋" w:eastAsia="仿宋"/>
          <w:sz w:val="30"/>
          <w:szCs w:val="30"/>
        </w:rPr>
        <w:t>人，离休人员</w:t>
      </w:r>
      <w:r>
        <w:rPr>
          <w:rFonts w:hint="eastAsia" w:ascii="仿宋" w:hAnsi="仿宋" w:eastAsia="仿宋"/>
          <w:sz w:val="30"/>
          <w:szCs w:val="30"/>
          <w:lang w:val="en-US" w:eastAsia="zh-CN"/>
        </w:rPr>
        <w:t>0</w:t>
      </w:r>
      <w:r>
        <w:rPr>
          <w:rFonts w:hint="eastAsia" w:ascii="仿宋" w:hAnsi="仿宋" w:eastAsia="仿宋"/>
          <w:sz w:val="30"/>
          <w:szCs w:val="30"/>
        </w:rPr>
        <w:t>人，退休人员</w:t>
      </w:r>
      <w:r>
        <w:rPr>
          <w:rFonts w:hint="eastAsia" w:ascii="仿宋" w:hAnsi="仿宋" w:eastAsia="仿宋"/>
          <w:sz w:val="30"/>
          <w:szCs w:val="30"/>
          <w:lang w:val="en-US" w:eastAsia="zh-CN"/>
        </w:rPr>
        <w:t>0</w:t>
      </w:r>
      <w:r>
        <w:rPr>
          <w:rFonts w:hint="eastAsia" w:ascii="仿宋" w:hAnsi="仿宋" w:eastAsia="仿宋"/>
          <w:sz w:val="30"/>
          <w:szCs w:val="30"/>
        </w:rPr>
        <w:t>人；</w:t>
      </w:r>
      <w:r>
        <w:rPr>
          <w:rFonts w:hint="eastAsia" w:ascii="仿宋" w:hAnsi="仿宋" w:eastAsia="仿宋"/>
          <w:sz w:val="30"/>
          <w:szCs w:val="30"/>
          <w:lang w:val="en-US" w:eastAsia="zh-CN"/>
        </w:rPr>
        <w:t>年</w:t>
      </w:r>
      <w:r>
        <w:rPr>
          <w:rFonts w:hint="eastAsia" w:ascii="仿宋" w:hAnsi="仿宋" w:eastAsia="仿宋"/>
          <w:sz w:val="30"/>
          <w:szCs w:val="30"/>
        </w:rPr>
        <w:t>末其他人员</w:t>
      </w:r>
      <w:r>
        <w:rPr>
          <w:rFonts w:hint="eastAsia" w:ascii="仿宋" w:hAnsi="仿宋" w:eastAsia="仿宋"/>
          <w:sz w:val="30"/>
          <w:szCs w:val="30"/>
          <w:lang w:val="en-US" w:eastAsia="zh-CN"/>
        </w:rPr>
        <w:t>0</w:t>
      </w:r>
      <w:r>
        <w:rPr>
          <w:rFonts w:hint="eastAsia" w:ascii="仿宋" w:hAnsi="仿宋" w:eastAsia="仿宋"/>
          <w:sz w:val="30"/>
          <w:szCs w:val="30"/>
        </w:rPr>
        <w:t>人；年末学生人数</w:t>
      </w:r>
      <w:r>
        <w:rPr>
          <w:rFonts w:hint="eastAsia" w:ascii="仿宋" w:hAnsi="仿宋" w:eastAsia="仿宋"/>
          <w:sz w:val="30"/>
          <w:szCs w:val="30"/>
          <w:lang w:val="en-US" w:eastAsia="zh-CN"/>
        </w:rPr>
        <w:t>0</w:t>
      </w:r>
      <w:r>
        <w:rPr>
          <w:rFonts w:hint="eastAsia" w:ascii="仿宋" w:hAnsi="仿宋" w:eastAsia="仿宋"/>
          <w:sz w:val="30"/>
          <w:szCs w:val="30"/>
        </w:rPr>
        <w:t>人</w:t>
      </w:r>
      <w:r>
        <w:rPr>
          <w:rFonts w:hint="eastAsia" w:ascii="仿宋" w:hAnsi="仿宋" w:eastAsia="仿宋"/>
          <w:sz w:val="30"/>
          <w:szCs w:val="30"/>
          <w:lang w:eastAsia="zh-CN"/>
        </w:rPr>
        <w:t>；</w:t>
      </w:r>
      <w:r>
        <w:rPr>
          <w:rFonts w:hint="eastAsia" w:ascii="仿宋_GB2312" w:hAnsi="仿宋_GB2312" w:eastAsia="仿宋_GB2312"/>
          <w:color w:val="auto"/>
          <w:sz w:val="32"/>
          <w:szCs w:val="32"/>
        </w:rPr>
        <w:t>由养老保险基金发放养老金的离退休人员</w:t>
      </w:r>
      <w:r>
        <w:rPr>
          <w:rFonts w:hint="eastAsia" w:ascii="仿宋_GB2312" w:hAnsi="仿宋_GB2312" w:eastAsia="仿宋_GB2312"/>
          <w:color w:val="auto"/>
          <w:sz w:val="32"/>
          <w:szCs w:val="32"/>
          <w:lang w:val="en-US" w:eastAsia="zh-CN"/>
        </w:rPr>
        <w:t>0</w:t>
      </w:r>
      <w:r>
        <w:rPr>
          <w:rFonts w:hint="eastAsia" w:ascii="仿宋_GB2312" w:hAnsi="仿宋_GB2312" w:eastAsia="仿宋_GB2312"/>
          <w:color w:val="auto"/>
          <w:sz w:val="32"/>
          <w:szCs w:val="32"/>
        </w:rPr>
        <w:t>人</w:t>
      </w:r>
      <w:r>
        <w:rPr>
          <w:rFonts w:hint="eastAsia" w:ascii="仿宋_GB2312" w:hAnsi="仿宋_GB2312" w:eastAsia="仿宋_GB2312"/>
          <w:color w:val="auto"/>
          <w:sz w:val="32"/>
          <w:szCs w:val="32"/>
          <w:lang w:eastAsia="zh-CN"/>
        </w:rPr>
        <w:t>。</w:t>
      </w:r>
    </w:p>
    <w:p w14:paraId="49E8EC32">
      <w:pPr>
        <w:ind w:firstLine="630"/>
        <w:jc w:val="left"/>
        <w:rPr>
          <w:rFonts w:hint="eastAsia" w:ascii="仿宋" w:hAnsi="仿宋" w:eastAsia="仿宋"/>
          <w:sz w:val="30"/>
          <w:szCs w:val="30"/>
          <w:lang w:val="en-US" w:eastAsia="zh-CN"/>
        </w:rPr>
      </w:pPr>
    </w:p>
    <w:p w14:paraId="7F803312">
      <w:pPr>
        <w:widowControl/>
        <w:numPr>
          <w:ilvl w:val="0"/>
          <w:numId w:val="1"/>
        </w:numPr>
        <w:spacing w:line="600" w:lineRule="exact"/>
        <w:ind w:firstLine="640"/>
        <w:jc w:val="center"/>
        <w:rPr>
          <w:rFonts w:hint="eastAsia" w:ascii="宋体" w:hAnsi="宋体"/>
          <w:b/>
          <w:sz w:val="32"/>
          <w:szCs w:val="32"/>
        </w:rPr>
      </w:pPr>
      <w:r>
        <w:rPr>
          <w:rFonts w:hint="eastAsia" w:ascii="宋体" w:hAnsi="宋体"/>
          <w:b/>
          <w:sz w:val="32"/>
          <w:szCs w:val="32"/>
        </w:rPr>
        <w:t xml:space="preserve"> </w:t>
      </w:r>
      <w:r>
        <w:rPr>
          <w:rFonts w:hint="eastAsia" w:ascii="宋体" w:hAnsi="宋体"/>
          <w:b/>
          <w:sz w:val="32"/>
          <w:szCs w:val="32"/>
          <w:lang w:eastAsia="zh-CN"/>
        </w:rPr>
        <w:t>2021</w:t>
      </w:r>
      <w:r>
        <w:rPr>
          <w:rFonts w:hint="eastAsia" w:ascii="宋体" w:hAnsi="宋体"/>
          <w:b/>
          <w:sz w:val="32"/>
          <w:szCs w:val="32"/>
        </w:rPr>
        <w:t>年度</w:t>
      </w:r>
      <w:r>
        <w:rPr>
          <w:rFonts w:hint="eastAsia" w:ascii="宋体" w:hAnsi="宋体"/>
          <w:b/>
          <w:sz w:val="32"/>
          <w:szCs w:val="32"/>
          <w:lang w:val="en-US" w:eastAsia="zh-CN"/>
        </w:rPr>
        <w:t>单位</w:t>
      </w:r>
      <w:r>
        <w:rPr>
          <w:rFonts w:hint="eastAsia" w:ascii="宋体" w:hAnsi="宋体"/>
          <w:b/>
          <w:sz w:val="32"/>
          <w:szCs w:val="32"/>
        </w:rPr>
        <w:t>决算表</w:t>
      </w:r>
    </w:p>
    <w:p w14:paraId="4BBACBE2">
      <w:pPr>
        <w:widowControl/>
        <w:numPr>
          <w:ilvl w:val="0"/>
          <w:numId w:val="0"/>
        </w:numPr>
        <w:spacing w:line="600" w:lineRule="exact"/>
        <w:jc w:val="both"/>
        <w:rPr>
          <w:rFonts w:hint="eastAsia" w:ascii="宋体" w:hAnsi="宋体"/>
          <w:b/>
          <w:sz w:val="32"/>
          <w:szCs w:val="32"/>
        </w:rPr>
      </w:pPr>
    </w:p>
    <w:p w14:paraId="46FB79BD">
      <w:pPr>
        <w:autoSpaceDE w:val="0"/>
        <w:autoSpaceDN w:val="0"/>
        <w:adjustRightInd w:val="0"/>
        <w:spacing w:line="360" w:lineRule="auto"/>
        <w:jc w:val="center"/>
        <w:rPr>
          <w:rFonts w:hint="eastAsia" w:eastAsia="宋体"/>
          <w:lang w:eastAsia="zh-CN"/>
        </w:rPr>
      </w:pPr>
      <w:r>
        <w:rPr>
          <w:rFonts w:hint="eastAsia" w:eastAsia="宋体"/>
          <w:lang w:eastAsia="zh-CN"/>
        </w:rPr>
        <w:drawing>
          <wp:inline distT="0" distB="0" distL="114300" distR="114300">
            <wp:extent cx="5273040" cy="5299075"/>
            <wp:effectExtent l="0" t="0" r="3810" b="15875"/>
            <wp:docPr id="1" name="图片 1" descr="1664182669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64182669155"/>
                    <pic:cNvPicPr>
                      <a:picLocks noChangeAspect="1"/>
                    </pic:cNvPicPr>
                  </pic:nvPicPr>
                  <pic:blipFill>
                    <a:blip r:embed="rId4"/>
                    <a:stretch>
                      <a:fillRect/>
                    </a:stretch>
                  </pic:blipFill>
                  <pic:spPr>
                    <a:xfrm>
                      <a:off x="0" y="0"/>
                      <a:ext cx="5273040" cy="5299075"/>
                    </a:xfrm>
                    <a:prstGeom prst="rect">
                      <a:avLst/>
                    </a:prstGeom>
                  </pic:spPr>
                </pic:pic>
              </a:graphicData>
            </a:graphic>
          </wp:inline>
        </w:drawing>
      </w:r>
    </w:p>
    <w:p w14:paraId="1DCAE9A9">
      <w:pPr>
        <w:autoSpaceDE w:val="0"/>
        <w:autoSpaceDN w:val="0"/>
        <w:adjustRightInd w:val="0"/>
        <w:spacing w:line="360" w:lineRule="auto"/>
        <w:jc w:val="left"/>
        <w:rPr>
          <w:rFonts w:hint="eastAsia" w:eastAsia="宋体"/>
          <w:lang w:eastAsia="zh-CN"/>
        </w:rPr>
      </w:pPr>
    </w:p>
    <w:p w14:paraId="786C1A6D">
      <w:pPr>
        <w:pStyle w:val="2"/>
        <w:rPr>
          <w:rFonts w:hint="eastAsia" w:eastAsia="宋体"/>
          <w:lang w:eastAsia="zh-CN"/>
        </w:rPr>
      </w:pPr>
    </w:p>
    <w:p w14:paraId="152D3158">
      <w:pPr>
        <w:pStyle w:val="2"/>
        <w:rPr>
          <w:rFonts w:hint="eastAsia" w:eastAsia="宋体"/>
          <w:lang w:eastAsia="zh-CN"/>
        </w:rPr>
      </w:pPr>
      <w:r>
        <w:rPr>
          <w:rFonts w:hint="eastAsia" w:eastAsia="宋体"/>
          <w:lang w:eastAsia="zh-CN"/>
        </w:rPr>
        <w:drawing>
          <wp:inline distT="0" distB="0" distL="114300" distR="114300">
            <wp:extent cx="5268595" cy="2544445"/>
            <wp:effectExtent l="0" t="0" r="8255" b="8255"/>
            <wp:docPr id="2" name="图片 2" descr="166418269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64182691985"/>
                    <pic:cNvPicPr>
                      <a:picLocks noChangeAspect="1"/>
                    </pic:cNvPicPr>
                  </pic:nvPicPr>
                  <pic:blipFill>
                    <a:blip r:embed="rId5"/>
                    <a:stretch>
                      <a:fillRect/>
                    </a:stretch>
                  </pic:blipFill>
                  <pic:spPr>
                    <a:xfrm>
                      <a:off x="0" y="0"/>
                      <a:ext cx="5268595" cy="2544445"/>
                    </a:xfrm>
                    <a:prstGeom prst="rect">
                      <a:avLst/>
                    </a:prstGeom>
                  </pic:spPr>
                </pic:pic>
              </a:graphicData>
            </a:graphic>
          </wp:inline>
        </w:drawing>
      </w:r>
      <w:r>
        <w:rPr>
          <w:rFonts w:hint="eastAsia" w:eastAsia="宋体"/>
          <w:lang w:eastAsia="zh-CN"/>
        </w:rPr>
        <w:drawing>
          <wp:inline distT="0" distB="0" distL="114300" distR="114300">
            <wp:extent cx="5270500" cy="4178300"/>
            <wp:effectExtent l="0" t="0" r="6350" b="12700"/>
            <wp:docPr id="3" name="图片 3" descr="166418271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64182712388"/>
                    <pic:cNvPicPr>
                      <a:picLocks noChangeAspect="1"/>
                    </pic:cNvPicPr>
                  </pic:nvPicPr>
                  <pic:blipFill>
                    <a:blip r:embed="rId6"/>
                    <a:stretch>
                      <a:fillRect/>
                    </a:stretch>
                  </pic:blipFill>
                  <pic:spPr>
                    <a:xfrm>
                      <a:off x="0" y="0"/>
                      <a:ext cx="5270500" cy="4178300"/>
                    </a:xfrm>
                    <a:prstGeom prst="rect">
                      <a:avLst/>
                    </a:prstGeom>
                  </pic:spPr>
                </pic:pic>
              </a:graphicData>
            </a:graphic>
          </wp:inline>
        </w:drawing>
      </w:r>
    </w:p>
    <w:p w14:paraId="77902D4C">
      <w:pPr>
        <w:autoSpaceDE w:val="0"/>
        <w:autoSpaceDN w:val="0"/>
        <w:adjustRightInd w:val="0"/>
        <w:spacing w:line="360" w:lineRule="auto"/>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drawing>
          <wp:inline distT="0" distB="0" distL="114300" distR="114300">
            <wp:extent cx="5274310" cy="3855085"/>
            <wp:effectExtent l="0" t="0" r="2540" b="12065"/>
            <wp:docPr id="4" name="图片 4" descr="166418274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64182743052"/>
                    <pic:cNvPicPr>
                      <a:picLocks noChangeAspect="1"/>
                    </pic:cNvPicPr>
                  </pic:nvPicPr>
                  <pic:blipFill>
                    <a:blip r:embed="rId7"/>
                    <a:stretch>
                      <a:fillRect/>
                    </a:stretch>
                  </pic:blipFill>
                  <pic:spPr>
                    <a:xfrm>
                      <a:off x="0" y="0"/>
                      <a:ext cx="5274310" cy="3855085"/>
                    </a:xfrm>
                    <a:prstGeom prst="rect">
                      <a:avLst/>
                    </a:prstGeom>
                  </pic:spPr>
                </pic:pic>
              </a:graphicData>
            </a:graphic>
          </wp:inline>
        </w:drawing>
      </w:r>
    </w:p>
    <w:p w14:paraId="659CA880">
      <w:pPr>
        <w:autoSpaceDE w:val="0"/>
        <w:autoSpaceDN w:val="0"/>
        <w:adjustRightInd w:val="0"/>
        <w:spacing w:line="360" w:lineRule="auto"/>
        <w:jc w:val="left"/>
        <w:rPr>
          <w:rFonts w:hint="eastAsia" w:eastAsia="宋体"/>
          <w:szCs w:val="30"/>
          <w:lang w:eastAsia="zh-CN"/>
        </w:rPr>
      </w:pPr>
    </w:p>
    <w:p w14:paraId="6057CBAF">
      <w:pPr>
        <w:autoSpaceDE w:val="0"/>
        <w:autoSpaceDN w:val="0"/>
        <w:adjustRightInd w:val="0"/>
        <w:spacing w:line="360" w:lineRule="auto"/>
        <w:jc w:val="left"/>
        <w:rPr>
          <w:rFonts w:hint="eastAsia" w:eastAsia="宋体"/>
          <w:szCs w:val="30"/>
          <w:lang w:eastAsia="zh-CN"/>
        </w:rPr>
      </w:pPr>
    </w:p>
    <w:p w14:paraId="3CCAA4BA">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9230" cy="6060440"/>
            <wp:effectExtent l="0" t="0" r="7620" b="16510"/>
            <wp:docPr id="5" name="图片 5" descr="1664182764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664182764147"/>
                    <pic:cNvPicPr>
                      <a:picLocks noChangeAspect="1"/>
                    </pic:cNvPicPr>
                  </pic:nvPicPr>
                  <pic:blipFill>
                    <a:blip r:embed="rId8"/>
                    <a:stretch>
                      <a:fillRect/>
                    </a:stretch>
                  </pic:blipFill>
                  <pic:spPr>
                    <a:xfrm>
                      <a:off x="0" y="0"/>
                      <a:ext cx="5269230" cy="6060440"/>
                    </a:xfrm>
                    <a:prstGeom prst="rect">
                      <a:avLst/>
                    </a:prstGeom>
                  </pic:spPr>
                </pic:pic>
              </a:graphicData>
            </a:graphic>
          </wp:inline>
        </w:drawing>
      </w:r>
      <w:r>
        <w:rPr>
          <w:rFonts w:hint="eastAsia" w:eastAsia="宋体"/>
          <w:szCs w:val="30"/>
          <w:lang w:eastAsia="zh-CN"/>
        </w:rPr>
        <w:drawing>
          <wp:inline distT="0" distB="0" distL="114300" distR="114300">
            <wp:extent cx="5266690" cy="8178800"/>
            <wp:effectExtent l="0" t="0" r="10160" b="12700"/>
            <wp:docPr id="6" name="图片 6" descr="1664182786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664182786437"/>
                    <pic:cNvPicPr>
                      <a:picLocks noChangeAspect="1"/>
                    </pic:cNvPicPr>
                  </pic:nvPicPr>
                  <pic:blipFill>
                    <a:blip r:embed="rId9"/>
                    <a:stretch>
                      <a:fillRect/>
                    </a:stretch>
                  </pic:blipFill>
                  <pic:spPr>
                    <a:xfrm>
                      <a:off x="0" y="0"/>
                      <a:ext cx="5266690" cy="8178800"/>
                    </a:xfrm>
                    <a:prstGeom prst="rect">
                      <a:avLst/>
                    </a:prstGeom>
                  </pic:spPr>
                </pic:pic>
              </a:graphicData>
            </a:graphic>
          </wp:inline>
        </w:drawing>
      </w:r>
    </w:p>
    <w:p w14:paraId="2134EB22">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73040" cy="4889500"/>
            <wp:effectExtent l="0" t="0" r="3810" b="6350"/>
            <wp:docPr id="7" name="图片 7" descr="1664182810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664182810234"/>
                    <pic:cNvPicPr>
                      <a:picLocks noChangeAspect="1"/>
                    </pic:cNvPicPr>
                  </pic:nvPicPr>
                  <pic:blipFill>
                    <a:blip r:embed="rId10"/>
                    <a:stretch>
                      <a:fillRect/>
                    </a:stretch>
                  </pic:blipFill>
                  <pic:spPr>
                    <a:xfrm>
                      <a:off x="0" y="0"/>
                      <a:ext cx="5273040" cy="4889500"/>
                    </a:xfrm>
                    <a:prstGeom prst="rect">
                      <a:avLst/>
                    </a:prstGeom>
                  </pic:spPr>
                </pic:pic>
              </a:graphicData>
            </a:graphic>
          </wp:inline>
        </w:drawing>
      </w:r>
    </w:p>
    <w:p w14:paraId="011D1E4F">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6690" cy="1831340"/>
            <wp:effectExtent l="0" t="0" r="10160" b="16510"/>
            <wp:docPr id="8" name="图片 8" descr="1664182896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664182896378"/>
                    <pic:cNvPicPr>
                      <a:picLocks noChangeAspect="1"/>
                    </pic:cNvPicPr>
                  </pic:nvPicPr>
                  <pic:blipFill>
                    <a:blip r:embed="rId11"/>
                    <a:stretch>
                      <a:fillRect/>
                    </a:stretch>
                  </pic:blipFill>
                  <pic:spPr>
                    <a:xfrm>
                      <a:off x="0" y="0"/>
                      <a:ext cx="5266690" cy="1831340"/>
                    </a:xfrm>
                    <a:prstGeom prst="rect">
                      <a:avLst/>
                    </a:prstGeom>
                  </pic:spPr>
                </pic:pic>
              </a:graphicData>
            </a:graphic>
          </wp:inline>
        </w:drawing>
      </w:r>
    </w:p>
    <w:p w14:paraId="665A1438">
      <w:pPr>
        <w:pStyle w:val="2"/>
        <w:rPr>
          <w:rFonts w:hint="eastAsia"/>
          <w:lang w:eastAsia="zh-CN"/>
        </w:rPr>
      </w:pPr>
      <w:r>
        <w:rPr>
          <w:rFonts w:hint="eastAsia"/>
          <w:szCs w:val="30"/>
          <w:lang w:eastAsia="zh-CN"/>
        </w:rPr>
        <w:t>说明：本</w:t>
      </w:r>
      <w:r>
        <w:rPr>
          <w:rFonts w:hint="eastAsia"/>
          <w:szCs w:val="30"/>
          <w:lang w:val="en-US" w:eastAsia="zh-CN"/>
        </w:rPr>
        <w:t>单位</w:t>
      </w:r>
      <w:r>
        <w:rPr>
          <w:rFonts w:hint="eastAsia"/>
          <w:szCs w:val="30"/>
          <w:lang w:eastAsia="zh-CN"/>
        </w:rPr>
        <w:t>无政府性基金预算财政拨款收入</w:t>
      </w:r>
      <w:r>
        <w:rPr>
          <w:rFonts w:hint="eastAsia"/>
          <w:szCs w:val="30"/>
          <w:lang w:val="en-US" w:eastAsia="zh-CN"/>
        </w:rPr>
        <w:t>支出情况</w:t>
      </w:r>
    </w:p>
    <w:p w14:paraId="0A5D5F48">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72405" cy="2749550"/>
            <wp:effectExtent l="0" t="0" r="4445" b="12700"/>
            <wp:docPr id="9" name="图片 9" descr="1664182924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664182924286"/>
                    <pic:cNvPicPr>
                      <a:picLocks noChangeAspect="1"/>
                    </pic:cNvPicPr>
                  </pic:nvPicPr>
                  <pic:blipFill>
                    <a:blip r:embed="rId12"/>
                    <a:stretch>
                      <a:fillRect/>
                    </a:stretch>
                  </pic:blipFill>
                  <pic:spPr>
                    <a:xfrm>
                      <a:off x="0" y="0"/>
                      <a:ext cx="5272405" cy="2749550"/>
                    </a:xfrm>
                    <a:prstGeom prst="rect">
                      <a:avLst/>
                    </a:prstGeom>
                  </pic:spPr>
                </pic:pic>
              </a:graphicData>
            </a:graphic>
          </wp:inline>
        </w:drawing>
      </w:r>
    </w:p>
    <w:p w14:paraId="43EBE1F4">
      <w:pPr>
        <w:autoSpaceDE w:val="0"/>
        <w:autoSpaceDN w:val="0"/>
        <w:adjustRightInd w:val="0"/>
        <w:spacing w:line="360" w:lineRule="auto"/>
        <w:jc w:val="left"/>
        <w:rPr>
          <w:rFonts w:hint="default" w:eastAsia="宋体"/>
          <w:szCs w:val="22"/>
          <w:lang w:val="en-US" w:eastAsia="zh-CN"/>
        </w:rPr>
      </w:pPr>
      <w:r>
        <w:rPr>
          <w:rFonts w:hint="eastAsia"/>
          <w:szCs w:val="22"/>
          <w:lang w:eastAsia="zh-CN"/>
        </w:rPr>
        <w:t>说明：本</w:t>
      </w:r>
      <w:r>
        <w:rPr>
          <w:rFonts w:hint="eastAsia"/>
          <w:szCs w:val="22"/>
          <w:lang w:val="en-US" w:eastAsia="zh-CN"/>
        </w:rPr>
        <w:t>单位</w:t>
      </w:r>
      <w:r>
        <w:rPr>
          <w:rFonts w:hint="eastAsia"/>
          <w:szCs w:val="22"/>
          <w:lang w:eastAsia="zh-CN"/>
        </w:rPr>
        <w:t>无国有资本经营预算财政拨款支出</w:t>
      </w:r>
      <w:r>
        <w:rPr>
          <w:rFonts w:hint="eastAsia"/>
          <w:szCs w:val="22"/>
          <w:lang w:val="en-US" w:eastAsia="zh-CN"/>
        </w:rPr>
        <w:t>情况</w:t>
      </w:r>
    </w:p>
    <w:p w14:paraId="171DD486">
      <w:pPr>
        <w:autoSpaceDE w:val="0"/>
        <w:autoSpaceDN w:val="0"/>
        <w:adjustRightInd w:val="0"/>
        <w:spacing w:line="360" w:lineRule="auto"/>
        <w:jc w:val="left"/>
        <w:rPr>
          <w:rFonts w:hint="eastAsia" w:eastAsia="宋体"/>
          <w:szCs w:val="30"/>
          <w:lang w:eastAsia="zh-CN"/>
        </w:rPr>
      </w:pPr>
    </w:p>
    <w:p w14:paraId="0F526A2F">
      <w:pPr>
        <w:autoSpaceDE w:val="0"/>
        <w:autoSpaceDN w:val="0"/>
        <w:adjustRightInd w:val="0"/>
        <w:spacing w:line="360" w:lineRule="auto"/>
        <w:jc w:val="center"/>
        <w:rPr>
          <w:rFonts w:hint="eastAsia" w:eastAsia="宋体"/>
          <w:szCs w:val="30"/>
          <w:lang w:eastAsia="zh-CN"/>
        </w:rPr>
      </w:pPr>
      <w:r>
        <w:rPr>
          <w:rFonts w:hint="eastAsia" w:eastAsia="宋体"/>
          <w:szCs w:val="30"/>
          <w:lang w:eastAsia="zh-CN"/>
        </w:rPr>
        <w:drawing>
          <wp:inline distT="0" distB="0" distL="114300" distR="114300">
            <wp:extent cx="5269230" cy="3227705"/>
            <wp:effectExtent l="0" t="0" r="7620" b="10795"/>
            <wp:docPr id="10" name="图片 10" descr="1664182955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64182955180"/>
                    <pic:cNvPicPr>
                      <a:picLocks noChangeAspect="1"/>
                    </pic:cNvPicPr>
                  </pic:nvPicPr>
                  <pic:blipFill>
                    <a:blip r:embed="rId13"/>
                    <a:stretch>
                      <a:fillRect/>
                    </a:stretch>
                  </pic:blipFill>
                  <pic:spPr>
                    <a:xfrm>
                      <a:off x="0" y="0"/>
                      <a:ext cx="5269230" cy="3227705"/>
                    </a:xfrm>
                    <a:prstGeom prst="rect">
                      <a:avLst/>
                    </a:prstGeom>
                  </pic:spPr>
                </pic:pic>
              </a:graphicData>
            </a:graphic>
          </wp:inline>
        </w:drawing>
      </w:r>
    </w:p>
    <w:p w14:paraId="0C238090">
      <w:pPr>
        <w:autoSpaceDE w:val="0"/>
        <w:autoSpaceDN w:val="0"/>
        <w:adjustRightInd w:val="0"/>
        <w:spacing w:line="360" w:lineRule="auto"/>
        <w:jc w:val="left"/>
        <w:rPr>
          <w:rFonts w:hint="default" w:eastAsia="宋体"/>
          <w:szCs w:val="22"/>
          <w:lang w:val="en-US" w:eastAsia="zh-CN"/>
        </w:rPr>
      </w:pPr>
      <w:r>
        <w:rPr>
          <w:rFonts w:hint="eastAsia"/>
          <w:szCs w:val="22"/>
          <w:lang w:eastAsia="zh-CN"/>
        </w:rPr>
        <w:t>说明：本</w:t>
      </w:r>
      <w:r>
        <w:rPr>
          <w:rFonts w:hint="eastAsia"/>
          <w:szCs w:val="22"/>
          <w:lang w:val="en-US" w:eastAsia="zh-CN"/>
        </w:rPr>
        <w:t>单位</w:t>
      </w:r>
      <w:r>
        <w:rPr>
          <w:rFonts w:hint="eastAsia"/>
          <w:szCs w:val="22"/>
          <w:lang w:eastAsia="zh-CN"/>
        </w:rPr>
        <w:t>无国有</w:t>
      </w:r>
      <w:r>
        <w:rPr>
          <w:rFonts w:hint="eastAsia"/>
          <w:szCs w:val="22"/>
          <w:lang w:val="en-US" w:eastAsia="zh-CN"/>
        </w:rPr>
        <w:t>资产占用情况</w:t>
      </w:r>
    </w:p>
    <w:p w14:paraId="3E85DBA5">
      <w:pPr>
        <w:widowControl/>
        <w:spacing w:line="600" w:lineRule="exact"/>
        <w:jc w:val="both"/>
        <w:rPr>
          <w:rFonts w:hint="eastAsia" w:ascii="宋体" w:hAnsi="宋体"/>
          <w:b/>
          <w:sz w:val="32"/>
          <w:szCs w:val="32"/>
        </w:rPr>
      </w:pPr>
    </w:p>
    <w:p w14:paraId="0B039B89">
      <w:pPr>
        <w:widowControl/>
        <w:spacing w:line="600" w:lineRule="exact"/>
        <w:ind w:firstLine="640"/>
        <w:jc w:val="center"/>
        <w:rPr>
          <w:rFonts w:hint="eastAsia" w:ascii="宋体" w:hAnsi="宋体"/>
          <w:b/>
          <w:sz w:val="32"/>
          <w:szCs w:val="32"/>
        </w:rPr>
      </w:pPr>
      <w:r>
        <w:rPr>
          <w:rFonts w:hint="eastAsia" w:ascii="宋体" w:hAnsi="宋体"/>
          <w:b/>
          <w:sz w:val="32"/>
          <w:szCs w:val="32"/>
        </w:rPr>
        <w:t xml:space="preserve">第三部分  </w:t>
      </w:r>
      <w:r>
        <w:rPr>
          <w:rFonts w:hint="eastAsia" w:ascii="宋体" w:hAnsi="宋体"/>
          <w:b/>
          <w:sz w:val="32"/>
          <w:szCs w:val="32"/>
          <w:lang w:eastAsia="zh-CN"/>
        </w:rPr>
        <w:t>2021</w:t>
      </w:r>
      <w:r>
        <w:rPr>
          <w:rFonts w:hint="eastAsia" w:ascii="宋体" w:hAnsi="宋体"/>
          <w:b/>
          <w:sz w:val="32"/>
          <w:szCs w:val="32"/>
        </w:rPr>
        <w:t>年度</w:t>
      </w:r>
      <w:r>
        <w:rPr>
          <w:rFonts w:hint="eastAsia" w:ascii="宋体" w:hAnsi="宋体"/>
          <w:b/>
          <w:sz w:val="32"/>
          <w:szCs w:val="32"/>
          <w:lang w:val="en-US" w:eastAsia="zh-CN"/>
        </w:rPr>
        <w:t>单位</w:t>
      </w:r>
      <w:r>
        <w:rPr>
          <w:rFonts w:hint="eastAsia" w:ascii="宋体" w:hAnsi="宋体"/>
          <w:b/>
          <w:sz w:val="32"/>
          <w:szCs w:val="32"/>
        </w:rPr>
        <w:t>决算情况说明</w:t>
      </w:r>
    </w:p>
    <w:p w14:paraId="1E8EA561">
      <w:pPr>
        <w:ind w:firstLine="630"/>
        <w:jc w:val="left"/>
        <w:rPr>
          <w:rFonts w:hint="eastAsia" w:ascii="仿宋" w:hAnsi="仿宋" w:eastAsia="仿宋"/>
          <w:sz w:val="30"/>
          <w:szCs w:val="30"/>
        </w:rPr>
      </w:pPr>
    </w:p>
    <w:p w14:paraId="20F2A8ED">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14:paraId="20329006">
      <w:pPr>
        <w:ind w:firstLine="600" w:firstLineChars="200"/>
        <w:jc w:val="left"/>
        <w:rPr>
          <w:rFonts w:hint="default" w:ascii="仿宋" w:hAnsi="仿宋" w:eastAsia="仿宋"/>
          <w:sz w:val="30"/>
          <w:szCs w:val="30"/>
          <w:lang w:val="en-US" w:eastAsia="zh-CN"/>
        </w:rPr>
      </w:pPr>
      <w:r>
        <w:rPr>
          <w:rFonts w:hint="eastAsia" w:ascii="仿宋" w:hAnsi="仿宋" w:eastAsia="仿宋"/>
          <w:sz w:val="30"/>
          <w:szCs w:val="30"/>
        </w:rPr>
        <w:t>本</w:t>
      </w:r>
      <w:r>
        <w:rPr>
          <w:rFonts w:hint="eastAsia" w:ascii="仿宋" w:hAnsi="仿宋" w:eastAsia="仿宋"/>
          <w:sz w:val="30"/>
          <w:szCs w:val="30"/>
          <w:lang w:val="en-US" w:eastAsia="zh-CN"/>
        </w:rPr>
        <w:t>单位</w:t>
      </w:r>
      <w:r>
        <w:rPr>
          <w:rFonts w:hint="eastAsia" w:ascii="仿宋" w:hAnsi="仿宋" w:eastAsia="仿宋"/>
          <w:sz w:val="30"/>
          <w:szCs w:val="30"/>
          <w:lang w:eastAsia="zh-CN"/>
        </w:rPr>
        <w:t>2021</w:t>
      </w:r>
      <w:r>
        <w:rPr>
          <w:rFonts w:hint="eastAsia" w:ascii="仿宋" w:hAnsi="仿宋" w:eastAsia="仿宋"/>
          <w:sz w:val="30"/>
          <w:szCs w:val="30"/>
        </w:rPr>
        <w:t>年度收入总计</w:t>
      </w:r>
      <w:r>
        <w:rPr>
          <w:rFonts w:hint="eastAsia" w:ascii="仿宋" w:hAnsi="仿宋" w:eastAsia="仿宋"/>
          <w:sz w:val="30"/>
          <w:szCs w:val="30"/>
          <w:lang w:val="en-US" w:eastAsia="zh-CN"/>
        </w:rPr>
        <w:t>2177.06</w:t>
      </w:r>
      <w:r>
        <w:rPr>
          <w:rFonts w:hint="eastAsia" w:ascii="仿宋" w:hAnsi="仿宋" w:eastAsia="仿宋"/>
          <w:sz w:val="30"/>
          <w:szCs w:val="30"/>
        </w:rPr>
        <w:t>万元，其中年初结转和结余</w:t>
      </w:r>
      <w:r>
        <w:rPr>
          <w:rFonts w:hint="eastAsia" w:ascii="仿宋" w:hAnsi="仿宋" w:eastAsia="仿宋"/>
          <w:sz w:val="30"/>
          <w:szCs w:val="30"/>
          <w:lang w:val="en-US" w:eastAsia="zh-CN"/>
        </w:rPr>
        <w:t>1755.82</w:t>
      </w:r>
      <w:r>
        <w:rPr>
          <w:rFonts w:hint="eastAsia" w:ascii="仿宋" w:hAnsi="仿宋" w:eastAsia="仿宋"/>
          <w:sz w:val="30"/>
          <w:szCs w:val="30"/>
        </w:rPr>
        <w:t>万元，较</w:t>
      </w:r>
      <w:r>
        <w:rPr>
          <w:rFonts w:hint="eastAsia" w:ascii="仿宋" w:hAnsi="仿宋" w:eastAsia="仿宋"/>
          <w:sz w:val="30"/>
          <w:szCs w:val="30"/>
          <w:lang w:eastAsia="zh-CN"/>
        </w:rPr>
        <w:t>2020</w:t>
      </w:r>
      <w:r>
        <w:rPr>
          <w:rFonts w:hint="eastAsia" w:ascii="仿宋" w:hAnsi="仿宋" w:eastAsia="仿宋"/>
          <w:sz w:val="30"/>
          <w:szCs w:val="30"/>
        </w:rPr>
        <w:t>年增加</w:t>
      </w:r>
      <w:r>
        <w:rPr>
          <w:rFonts w:hint="eastAsia" w:ascii="仿宋" w:hAnsi="仿宋" w:eastAsia="仿宋"/>
          <w:sz w:val="30"/>
          <w:szCs w:val="30"/>
          <w:lang w:val="en-US" w:eastAsia="zh-CN"/>
        </w:rPr>
        <w:t>226.54</w:t>
      </w:r>
      <w:r>
        <w:rPr>
          <w:rFonts w:hint="eastAsia" w:ascii="仿宋" w:hAnsi="仿宋" w:eastAsia="仿宋"/>
          <w:sz w:val="30"/>
          <w:szCs w:val="30"/>
        </w:rPr>
        <w:t>万元，增长</w:t>
      </w:r>
      <w:r>
        <w:rPr>
          <w:rFonts w:hint="eastAsia" w:ascii="仿宋" w:hAnsi="仿宋" w:eastAsia="仿宋"/>
          <w:sz w:val="30"/>
          <w:szCs w:val="30"/>
          <w:lang w:val="en-US" w:eastAsia="zh-CN"/>
        </w:rPr>
        <w:t>14.81</w:t>
      </w:r>
      <w:r>
        <w:rPr>
          <w:rFonts w:hint="eastAsia" w:ascii="仿宋" w:hAnsi="仿宋" w:eastAsia="仿宋"/>
          <w:sz w:val="30"/>
          <w:szCs w:val="30"/>
        </w:rPr>
        <w:t>%；本年收入合计</w:t>
      </w:r>
      <w:r>
        <w:rPr>
          <w:rFonts w:hint="eastAsia" w:ascii="仿宋" w:hAnsi="仿宋" w:eastAsia="仿宋"/>
          <w:sz w:val="30"/>
          <w:szCs w:val="30"/>
          <w:lang w:val="en-US" w:eastAsia="zh-CN"/>
        </w:rPr>
        <w:t>421.24</w:t>
      </w:r>
      <w:r>
        <w:rPr>
          <w:rFonts w:hint="eastAsia" w:ascii="仿宋" w:hAnsi="仿宋" w:eastAsia="仿宋"/>
          <w:sz w:val="30"/>
          <w:szCs w:val="30"/>
        </w:rPr>
        <w:t>万元，较</w:t>
      </w:r>
      <w:r>
        <w:rPr>
          <w:rFonts w:hint="eastAsia" w:ascii="仿宋" w:hAnsi="仿宋" w:eastAsia="仿宋"/>
          <w:sz w:val="30"/>
          <w:szCs w:val="30"/>
          <w:lang w:eastAsia="zh-CN"/>
        </w:rPr>
        <w:t>2020</w:t>
      </w:r>
      <w:r>
        <w:rPr>
          <w:rFonts w:hint="eastAsia" w:ascii="仿宋" w:hAnsi="仿宋" w:eastAsia="仿宋"/>
          <w:sz w:val="30"/>
          <w:szCs w:val="30"/>
        </w:rPr>
        <w:t>年</w:t>
      </w:r>
      <w:r>
        <w:rPr>
          <w:rFonts w:hint="eastAsia" w:ascii="仿宋" w:hAnsi="仿宋" w:eastAsia="仿宋"/>
          <w:sz w:val="30"/>
          <w:szCs w:val="30"/>
          <w:lang w:val="en-US" w:eastAsia="zh-CN"/>
        </w:rPr>
        <w:t>减少4131.74</w:t>
      </w:r>
      <w:r>
        <w:rPr>
          <w:rFonts w:hint="eastAsia" w:ascii="仿宋" w:hAnsi="仿宋" w:eastAsia="仿宋"/>
          <w:sz w:val="30"/>
          <w:szCs w:val="30"/>
        </w:rPr>
        <w:t>万元，</w:t>
      </w:r>
      <w:r>
        <w:rPr>
          <w:rFonts w:hint="eastAsia" w:ascii="仿宋" w:hAnsi="仿宋" w:eastAsia="仿宋"/>
          <w:sz w:val="30"/>
          <w:szCs w:val="30"/>
          <w:lang w:val="en-US" w:eastAsia="zh-CN"/>
        </w:rPr>
        <w:t>下降90.75</w:t>
      </w:r>
      <w:r>
        <w:rPr>
          <w:rFonts w:hint="eastAsia" w:ascii="仿宋" w:hAnsi="仿宋" w:eastAsia="仿宋"/>
          <w:sz w:val="30"/>
          <w:szCs w:val="30"/>
        </w:rPr>
        <w:t>%，主要原因是：</w:t>
      </w:r>
      <w:r>
        <w:rPr>
          <w:rFonts w:hint="eastAsia" w:ascii="仿宋" w:hAnsi="仿宋" w:eastAsia="仿宋"/>
          <w:sz w:val="30"/>
          <w:szCs w:val="30"/>
          <w:lang w:val="en-US" w:eastAsia="zh-CN"/>
        </w:rPr>
        <w:t>列项减少。</w:t>
      </w:r>
    </w:p>
    <w:p w14:paraId="4D43BE75">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357.43</w:t>
      </w:r>
      <w:r>
        <w:rPr>
          <w:rFonts w:hint="eastAsia" w:ascii="仿宋" w:hAnsi="仿宋" w:eastAsia="仿宋"/>
          <w:sz w:val="30"/>
          <w:szCs w:val="30"/>
        </w:rPr>
        <w:t>万元，占</w:t>
      </w:r>
      <w:r>
        <w:rPr>
          <w:rFonts w:hint="eastAsia" w:ascii="仿宋" w:hAnsi="仿宋" w:eastAsia="仿宋"/>
          <w:sz w:val="30"/>
          <w:szCs w:val="30"/>
          <w:lang w:val="en-US" w:eastAsia="zh-CN"/>
        </w:rPr>
        <w:t>84.85</w:t>
      </w:r>
      <w:r>
        <w:rPr>
          <w:rFonts w:hint="eastAsia" w:ascii="仿宋" w:hAnsi="仿宋" w:eastAsia="仿宋"/>
          <w:sz w:val="30"/>
          <w:szCs w:val="30"/>
        </w:rPr>
        <w:t>%；事业收入</w:t>
      </w:r>
      <w:r>
        <w:rPr>
          <w:rFonts w:hint="eastAsia" w:ascii="仿宋" w:hAnsi="仿宋" w:eastAsia="仿宋"/>
          <w:sz w:val="30"/>
          <w:szCs w:val="30"/>
          <w:lang w:val="en-US" w:eastAsia="zh-CN"/>
        </w:rPr>
        <w:t>0万</w:t>
      </w:r>
      <w:r>
        <w:rPr>
          <w:rFonts w:hint="eastAsia" w:ascii="仿宋" w:hAnsi="仿宋" w:eastAsia="仿宋"/>
          <w:sz w:val="30"/>
          <w:szCs w:val="30"/>
        </w:rPr>
        <w:t>元，占</w:t>
      </w:r>
      <w:r>
        <w:rPr>
          <w:rFonts w:hint="eastAsia" w:ascii="仿宋" w:hAnsi="仿宋" w:eastAsia="仿宋"/>
          <w:sz w:val="30"/>
          <w:szCs w:val="30"/>
          <w:lang w:val="en-US" w:eastAsia="zh-CN"/>
        </w:rPr>
        <w:t>0</w:t>
      </w:r>
      <w:r>
        <w:rPr>
          <w:rFonts w:hint="eastAsia" w:ascii="仿宋" w:hAnsi="仿宋" w:eastAsia="仿宋"/>
          <w:sz w:val="30"/>
          <w:szCs w:val="30"/>
        </w:rPr>
        <w:t>%；经营收入</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%；其他收入</w:t>
      </w:r>
      <w:r>
        <w:rPr>
          <w:rFonts w:hint="eastAsia" w:ascii="仿宋" w:hAnsi="仿宋" w:eastAsia="仿宋"/>
          <w:sz w:val="30"/>
          <w:szCs w:val="30"/>
          <w:lang w:val="en-US" w:eastAsia="zh-CN"/>
        </w:rPr>
        <w:t>63.81</w:t>
      </w:r>
      <w:r>
        <w:rPr>
          <w:rFonts w:hint="eastAsia" w:ascii="仿宋" w:hAnsi="仿宋" w:eastAsia="仿宋"/>
          <w:sz w:val="30"/>
          <w:szCs w:val="30"/>
        </w:rPr>
        <w:t>万元，占</w:t>
      </w:r>
      <w:r>
        <w:rPr>
          <w:rFonts w:hint="eastAsia" w:ascii="仿宋" w:hAnsi="仿宋" w:eastAsia="仿宋"/>
          <w:sz w:val="30"/>
          <w:szCs w:val="30"/>
          <w:lang w:val="en-US" w:eastAsia="zh-CN"/>
        </w:rPr>
        <w:t>15.15</w:t>
      </w:r>
      <w:r>
        <w:rPr>
          <w:rFonts w:hint="eastAsia" w:ascii="仿宋" w:hAnsi="仿宋" w:eastAsia="仿宋"/>
          <w:sz w:val="30"/>
          <w:szCs w:val="30"/>
        </w:rPr>
        <w:t xml:space="preserve">%。  </w:t>
      </w:r>
    </w:p>
    <w:p w14:paraId="17957F2E">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14:paraId="59E5506F">
      <w:pPr>
        <w:ind w:firstLine="630"/>
        <w:jc w:val="left"/>
        <w:rPr>
          <w:rFonts w:hint="eastAsia" w:ascii="仿宋" w:hAnsi="仿宋" w:eastAsia="仿宋"/>
          <w:sz w:val="30"/>
          <w:szCs w:val="30"/>
        </w:rPr>
      </w:pPr>
      <w:r>
        <w:rPr>
          <w:rFonts w:hint="eastAsia" w:ascii="仿宋" w:hAnsi="仿宋" w:eastAsia="仿宋"/>
          <w:sz w:val="30"/>
          <w:szCs w:val="30"/>
        </w:rPr>
        <w:t>本</w:t>
      </w:r>
      <w:r>
        <w:rPr>
          <w:rFonts w:hint="eastAsia" w:ascii="仿宋" w:hAnsi="仿宋" w:eastAsia="仿宋"/>
          <w:sz w:val="30"/>
          <w:szCs w:val="30"/>
          <w:lang w:val="en-US" w:eastAsia="zh-CN"/>
        </w:rPr>
        <w:t>单位</w:t>
      </w:r>
      <w:r>
        <w:rPr>
          <w:rFonts w:hint="eastAsia" w:ascii="仿宋" w:hAnsi="仿宋" w:eastAsia="仿宋"/>
          <w:sz w:val="30"/>
          <w:szCs w:val="30"/>
          <w:lang w:eastAsia="zh-CN"/>
        </w:rPr>
        <w:t>2021</w:t>
      </w:r>
      <w:r>
        <w:rPr>
          <w:rFonts w:hint="eastAsia" w:ascii="仿宋" w:hAnsi="仿宋" w:eastAsia="仿宋"/>
          <w:sz w:val="30"/>
          <w:szCs w:val="30"/>
        </w:rPr>
        <w:t>年度支出总计</w:t>
      </w:r>
      <w:r>
        <w:rPr>
          <w:rFonts w:hint="eastAsia" w:ascii="仿宋" w:hAnsi="仿宋" w:eastAsia="仿宋"/>
          <w:sz w:val="30"/>
          <w:szCs w:val="30"/>
          <w:lang w:val="en-US" w:eastAsia="zh-CN"/>
        </w:rPr>
        <w:t>2177.06</w:t>
      </w:r>
      <w:r>
        <w:rPr>
          <w:rFonts w:hint="eastAsia" w:ascii="仿宋" w:hAnsi="仿宋" w:eastAsia="仿宋"/>
          <w:sz w:val="30"/>
          <w:szCs w:val="30"/>
        </w:rPr>
        <w:t>元，其中本年支出合计</w:t>
      </w:r>
      <w:r>
        <w:rPr>
          <w:rFonts w:hint="eastAsia" w:ascii="仿宋" w:hAnsi="仿宋" w:eastAsia="仿宋"/>
          <w:sz w:val="30"/>
          <w:szCs w:val="30"/>
          <w:lang w:val="en-US" w:eastAsia="zh-CN"/>
        </w:rPr>
        <w:t>2107.26</w:t>
      </w:r>
      <w:r>
        <w:rPr>
          <w:rFonts w:hint="eastAsia" w:ascii="仿宋" w:hAnsi="仿宋" w:eastAsia="仿宋"/>
          <w:sz w:val="30"/>
          <w:szCs w:val="30"/>
        </w:rPr>
        <w:t>万元，较</w:t>
      </w:r>
      <w:r>
        <w:rPr>
          <w:rFonts w:hint="eastAsia" w:ascii="仿宋" w:hAnsi="仿宋" w:eastAsia="仿宋"/>
          <w:sz w:val="30"/>
          <w:szCs w:val="30"/>
          <w:lang w:eastAsia="zh-CN"/>
        </w:rPr>
        <w:t>2020</w:t>
      </w:r>
      <w:r>
        <w:rPr>
          <w:rFonts w:hint="eastAsia" w:ascii="仿宋" w:hAnsi="仿宋" w:eastAsia="仿宋"/>
          <w:sz w:val="30"/>
          <w:szCs w:val="30"/>
        </w:rPr>
        <w:t>年</w:t>
      </w:r>
      <w:r>
        <w:rPr>
          <w:rFonts w:hint="eastAsia" w:ascii="仿宋" w:hAnsi="仿宋" w:eastAsia="仿宋"/>
          <w:sz w:val="30"/>
          <w:szCs w:val="30"/>
          <w:lang w:val="en-US" w:eastAsia="zh-CN"/>
        </w:rPr>
        <w:t>减少2219.19</w:t>
      </w:r>
      <w:r>
        <w:rPr>
          <w:rFonts w:hint="eastAsia" w:ascii="仿宋" w:hAnsi="仿宋" w:eastAsia="仿宋"/>
          <w:sz w:val="30"/>
          <w:szCs w:val="30"/>
        </w:rPr>
        <w:t>万元，</w:t>
      </w:r>
      <w:r>
        <w:rPr>
          <w:rFonts w:hint="eastAsia" w:ascii="仿宋" w:hAnsi="仿宋" w:eastAsia="仿宋"/>
          <w:sz w:val="30"/>
          <w:szCs w:val="30"/>
          <w:lang w:val="en-US" w:eastAsia="zh-CN"/>
        </w:rPr>
        <w:t>下降51.29</w:t>
      </w:r>
      <w:r>
        <w:rPr>
          <w:rFonts w:hint="eastAsia" w:ascii="仿宋" w:hAnsi="仿宋" w:eastAsia="仿宋"/>
          <w:sz w:val="30"/>
          <w:szCs w:val="30"/>
        </w:rPr>
        <w:t>%，主要原因是：</w:t>
      </w:r>
      <w:r>
        <w:rPr>
          <w:rFonts w:hint="eastAsia" w:ascii="仿宋" w:hAnsi="仿宋" w:eastAsia="仿宋"/>
          <w:sz w:val="30"/>
          <w:szCs w:val="30"/>
          <w:lang w:val="en-US" w:eastAsia="zh-CN"/>
        </w:rPr>
        <w:t>项目支出减少</w:t>
      </w:r>
      <w:r>
        <w:rPr>
          <w:rFonts w:hint="eastAsia" w:ascii="仿宋" w:hAnsi="仿宋" w:eastAsia="仿宋"/>
          <w:sz w:val="30"/>
          <w:szCs w:val="30"/>
        </w:rPr>
        <w:t>；年末结转和结余</w:t>
      </w:r>
      <w:r>
        <w:rPr>
          <w:rFonts w:hint="eastAsia" w:ascii="仿宋" w:hAnsi="仿宋" w:eastAsia="仿宋"/>
          <w:sz w:val="30"/>
          <w:szCs w:val="30"/>
          <w:lang w:val="en-US" w:eastAsia="zh-CN"/>
        </w:rPr>
        <w:t>69.79</w:t>
      </w:r>
      <w:r>
        <w:rPr>
          <w:rFonts w:hint="eastAsia" w:ascii="仿宋" w:hAnsi="仿宋" w:eastAsia="仿宋"/>
          <w:sz w:val="30"/>
          <w:szCs w:val="30"/>
        </w:rPr>
        <w:t>万元，较</w:t>
      </w:r>
      <w:r>
        <w:rPr>
          <w:rFonts w:hint="eastAsia" w:ascii="仿宋" w:hAnsi="仿宋" w:eastAsia="仿宋"/>
          <w:sz w:val="30"/>
          <w:szCs w:val="30"/>
          <w:lang w:eastAsia="zh-CN"/>
        </w:rPr>
        <w:t>2020</w:t>
      </w:r>
      <w:r>
        <w:rPr>
          <w:rFonts w:hint="eastAsia" w:ascii="仿宋" w:hAnsi="仿宋" w:eastAsia="仿宋"/>
          <w:sz w:val="30"/>
          <w:szCs w:val="30"/>
        </w:rPr>
        <w:t>年</w:t>
      </w:r>
      <w:r>
        <w:rPr>
          <w:rFonts w:hint="eastAsia" w:ascii="仿宋" w:hAnsi="仿宋" w:eastAsia="仿宋"/>
          <w:sz w:val="30"/>
          <w:szCs w:val="30"/>
          <w:lang w:val="en-US" w:eastAsia="zh-CN"/>
        </w:rPr>
        <w:t>减少1686.03</w:t>
      </w:r>
      <w:r>
        <w:rPr>
          <w:rFonts w:hint="eastAsia" w:ascii="仿宋" w:hAnsi="仿宋" w:eastAsia="仿宋"/>
          <w:sz w:val="30"/>
          <w:szCs w:val="30"/>
        </w:rPr>
        <w:t>万元，</w:t>
      </w:r>
      <w:r>
        <w:rPr>
          <w:rFonts w:hint="eastAsia" w:ascii="仿宋" w:hAnsi="仿宋" w:eastAsia="仿宋"/>
          <w:sz w:val="30"/>
          <w:szCs w:val="30"/>
          <w:lang w:val="en-US" w:eastAsia="zh-CN"/>
        </w:rPr>
        <w:t>下降96.03</w:t>
      </w:r>
      <w:r>
        <w:rPr>
          <w:rFonts w:hint="eastAsia" w:ascii="仿宋" w:hAnsi="仿宋" w:eastAsia="仿宋"/>
          <w:sz w:val="30"/>
          <w:szCs w:val="30"/>
        </w:rPr>
        <w:t>%，主要原因是：</w:t>
      </w:r>
      <w:r>
        <w:rPr>
          <w:rFonts w:hint="eastAsia" w:ascii="仿宋" w:hAnsi="仿宋" w:eastAsia="仿宋"/>
          <w:sz w:val="30"/>
          <w:szCs w:val="30"/>
          <w:lang w:val="en-US" w:eastAsia="zh-CN"/>
        </w:rPr>
        <w:t>预算一体化改革，不再使用权责发生制，结转结余减少</w:t>
      </w:r>
      <w:r>
        <w:rPr>
          <w:rFonts w:hint="eastAsia" w:ascii="仿宋" w:hAnsi="仿宋" w:eastAsia="仿宋"/>
          <w:sz w:val="30"/>
          <w:szCs w:val="30"/>
        </w:rPr>
        <w:t>。</w:t>
      </w:r>
    </w:p>
    <w:p w14:paraId="73CB6CD8">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304.3</w:t>
      </w:r>
      <w:r>
        <w:rPr>
          <w:rFonts w:hint="eastAsia" w:ascii="仿宋" w:hAnsi="仿宋" w:eastAsia="仿宋"/>
          <w:sz w:val="30"/>
          <w:szCs w:val="30"/>
        </w:rPr>
        <w:t>万元，占</w:t>
      </w:r>
      <w:r>
        <w:rPr>
          <w:rFonts w:hint="eastAsia" w:ascii="仿宋" w:hAnsi="仿宋" w:eastAsia="仿宋"/>
          <w:sz w:val="30"/>
          <w:szCs w:val="30"/>
          <w:lang w:val="en-US" w:eastAsia="zh-CN"/>
        </w:rPr>
        <w:t>14.44</w:t>
      </w:r>
      <w:r>
        <w:rPr>
          <w:rFonts w:hint="eastAsia" w:ascii="仿宋" w:hAnsi="仿宋" w:eastAsia="仿宋"/>
          <w:sz w:val="30"/>
          <w:szCs w:val="30"/>
        </w:rPr>
        <w:t>%；项目支出</w:t>
      </w:r>
      <w:r>
        <w:rPr>
          <w:rFonts w:hint="eastAsia" w:ascii="仿宋" w:hAnsi="仿宋" w:eastAsia="仿宋"/>
          <w:sz w:val="30"/>
          <w:szCs w:val="30"/>
          <w:lang w:val="en-US" w:eastAsia="zh-CN"/>
        </w:rPr>
        <w:t>1802.96</w:t>
      </w:r>
      <w:r>
        <w:rPr>
          <w:rFonts w:hint="eastAsia" w:ascii="仿宋" w:hAnsi="仿宋" w:eastAsia="仿宋"/>
          <w:sz w:val="30"/>
          <w:szCs w:val="30"/>
        </w:rPr>
        <w:t>万元，占</w:t>
      </w:r>
      <w:r>
        <w:rPr>
          <w:rFonts w:hint="eastAsia" w:ascii="仿宋" w:hAnsi="仿宋" w:eastAsia="仿宋"/>
          <w:sz w:val="30"/>
          <w:szCs w:val="30"/>
          <w:lang w:val="en-US" w:eastAsia="zh-CN"/>
        </w:rPr>
        <w:t>85.56</w:t>
      </w:r>
      <w:r>
        <w:rPr>
          <w:rFonts w:hint="eastAsia" w:ascii="仿宋" w:hAnsi="仿宋" w:eastAsia="仿宋"/>
          <w:sz w:val="30"/>
          <w:szCs w:val="30"/>
        </w:rPr>
        <w:t>%；经营支出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%；其他支出（对附属单位补助支出、上缴上级支出）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w:t>
      </w:r>
    </w:p>
    <w:p w14:paraId="03C6FB5F">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14:paraId="67C76A31">
      <w:pPr>
        <w:ind w:firstLine="630"/>
        <w:jc w:val="left"/>
        <w:rPr>
          <w:rFonts w:hint="eastAsia" w:ascii="仿宋" w:hAnsi="仿宋" w:eastAsia="仿宋"/>
          <w:sz w:val="30"/>
          <w:szCs w:val="30"/>
        </w:rPr>
      </w:pPr>
      <w:r>
        <w:rPr>
          <w:rFonts w:hint="eastAsia" w:ascii="仿宋" w:hAnsi="仿宋" w:eastAsia="仿宋"/>
          <w:sz w:val="30"/>
          <w:szCs w:val="30"/>
        </w:rPr>
        <w:t>本</w:t>
      </w:r>
      <w:r>
        <w:rPr>
          <w:rFonts w:hint="eastAsia" w:ascii="仿宋" w:hAnsi="仿宋" w:eastAsia="仿宋"/>
          <w:sz w:val="30"/>
          <w:szCs w:val="30"/>
          <w:lang w:val="en-US" w:eastAsia="zh-CN"/>
        </w:rPr>
        <w:t>单位</w:t>
      </w:r>
      <w:r>
        <w:rPr>
          <w:rFonts w:hint="eastAsia" w:ascii="仿宋" w:hAnsi="仿宋" w:eastAsia="仿宋"/>
          <w:sz w:val="30"/>
          <w:szCs w:val="30"/>
          <w:lang w:eastAsia="zh-CN"/>
        </w:rPr>
        <w:t>2021</w:t>
      </w:r>
      <w:r>
        <w:rPr>
          <w:rFonts w:hint="eastAsia" w:ascii="仿宋" w:hAnsi="仿宋" w:eastAsia="仿宋"/>
          <w:sz w:val="30"/>
          <w:szCs w:val="30"/>
        </w:rPr>
        <w:t>年度财政拨款本年支出年初预算数为</w:t>
      </w:r>
      <w:r>
        <w:rPr>
          <w:rFonts w:hint="eastAsia" w:ascii="仿宋" w:hAnsi="仿宋" w:eastAsia="仿宋"/>
          <w:sz w:val="30"/>
          <w:szCs w:val="30"/>
          <w:lang w:val="en-US" w:eastAsia="zh-CN"/>
        </w:rPr>
        <w:t>669.91</w:t>
      </w:r>
      <w:r>
        <w:rPr>
          <w:rFonts w:hint="eastAsia" w:ascii="仿宋" w:hAnsi="仿宋" w:eastAsia="仿宋"/>
          <w:sz w:val="30"/>
          <w:szCs w:val="30"/>
        </w:rPr>
        <w:t>万元，决算数为</w:t>
      </w:r>
      <w:r>
        <w:rPr>
          <w:rFonts w:hint="eastAsia" w:ascii="仿宋" w:hAnsi="仿宋" w:eastAsia="仿宋"/>
          <w:sz w:val="30"/>
          <w:szCs w:val="30"/>
          <w:lang w:val="en-US" w:eastAsia="zh-CN"/>
        </w:rPr>
        <w:t>2107.26</w:t>
      </w:r>
      <w:r>
        <w:rPr>
          <w:rFonts w:hint="eastAsia" w:ascii="仿宋" w:hAnsi="仿宋" w:eastAsia="仿宋"/>
          <w:sz w:val="30"/>
          <w:szCs w:val="30"/>
        </w:rPr>
        <w:t>万元，完成年初预算的</w:t>
      </w:r>
      <w:r>
        <w:rPr>
          <w:rFonts w:hint="eastAsia" w:ascii="仿宋" w:hAnsi="仿宋" w:eastAsia="仿宋"/>
          <w:sz w:val="30"/>
          <w:szCs w:val="30"/>
          <w:lang w:val="en-US" w:eastAsia="zh-CN"/>
        </w:rPr>
        <w:t>314.56</w:t>
      </w:r>
      <w:r>
        <w:rPr>
          <w:rFonts w:hint="eastAsia" w:ascii="仿宋" w:hAnsi="仿宋" w:eastAsia="仿宋"/>
          <w:sz w:val="30"/>
          <w:szCs w:val="30"/>
        </w:rPr>
        <w:t>%。其中：</w:t>
      </w:r>
    </w:p>
    <w:p w14:paraId="3C5D93A8">
      <w:pPr>
        <w:ind w:firstLine="630"/>
        <w:jc w:val="left"/>
        <w:rPr>
          <w:rFonts w:hint="eastAsia" w:ascii="仿宋" w:hAnsi="仿宋" w:eastAsia="仿宋"/>
          <w:sz w:val="30"/>
          <w:szCs w:val="30"/>
          <w:lang w:val="en-US" w:eastAsia="zh-CN"/>
        </w:rPr>
      </w:pPr>
      <w:r>
        <w:rPr>
          <w:rFonts w:hint="eastAsia" w:ascii="仿宋" w:hAnsi="仿宋" w:eastAsia="仿宋"/>
          <w:sz w:val="30"/>
          <w:szCs w:val="30"/>
          <w:lang w:eastAsia="zh-CN"/>
        </w:rPr>
        <w:t>（</w:t>
      </w:r>
      <w:r>
        <w:rPr>
          <w:rFonts w:hint="eastAsia" w:ascii="仿宋" w:hAnsi="仿宋" w:eastAsia="仿宋"/>
          <w:sz w:val="30"/>
          <w:szCs w:val="30"/>
          <w:lang w:val="en-US" w:eastAsia="zh-CN"/>
        </w:rPr>
        <w:t>一</w:t>
      </w:r>
      <w:r>
        <w:rPr>
          <w:rFonts w:hint="eastAsia" w:ascii="仿宋" w:hAnsi="仿宋" w:eastAsia="仿宋"/>
          <w:sz w:val="30"/>
          <w:szCs w:val="30"/>
          <w:lang w:eastAsia="zh-CN"/>
        </w:rPr>
        <w:t>）社会保障和就业支出</w:t>
      </w:r>
      <w:r>
        <w:rPr>
          <w:rFonts w:hint="eastAsia" w:ascii="仿宋" w:hAnsi="仿宋" w:eastAsia="仿宋"/>
          <w:sz w:val="30"/>
          <w:szCs w:val="30"/>
        </w:rPr>
        <w:t>年初预算数为</w:t>
      </w:r>
      <w:r>
        <w:rPr>
          <w:rFonts w:hint="eastAsia" w:ascii="仿宋" w:hAnsi="仿宋" w:eastAsia="仿宋"/>
          <w:sz w:val="30"/>
          <w:szCs w:val="30"/>
          <w:lang w:val="en-US" w:eastAsia="zh-CN"/>
        </w:rPr>
        <w:t>637.34</w:t>
      </w:r>
      <w:r>
        <w:rPr>
          <w:rFonts w:hint="eastAsia" w:ascii="仿宋" w:hAnsi="仿宋" w:eastAsia="仿宋"/>
          <w:sz w:val="30"/>
          <w:szCs w:val="30"/>
        </w:rPr>
        <w:t>万元，决算数为</w:t>
      </w:r>
      <w:r>
        <w:rPr>
          <w:rFonts w:hint="eastAsia" w:ascii="仿宋" w:hAnsi="仿宋" w:eastAsia="仿宋"/>
          <w:sz w:val="30"/>
          <w:szCs w:val="30"/>
          <w:lang w:val="en-US" w:eastAsia="zh-CN"/>
        </w:rPr>
        <w:t>2049.64</w:t>
      </w:r>
      <w:r>
        <w:rPr>
          <w:rFonts w:hint="eastAsia" w:ascii="仿宋" w:hAnsi="仿宋" w:eastAsia="仿宋"/>
          <w:sz w:val="30"/>
          <w:szCs w:val="30"/>
        </w:rPr>
        <w:t>万元，完成年初预算的</w:t>
      </w:r>
      <w:r>
        <w:rPr>
          <w:rFonts w:hint="eastAsia" w:ascii="仿宋" w:hAnsi="仿宋" w:eastAsia="仿宋"/>
          <w:sz w:val="30"/>
          <w:szCs w:val="30"/>
          <w:lang w:val="en-US" w:eastAsia="zh-CN"/>
        </w:rPr>
        <w:t>321.59</w:t>
      </w:r>
      <w:r>
        <w:rPr>
          <w:rFonts w:hint="eastAsia" w:ascii="仿宋" w:hAnsi="仿宋" w:eastAsia="仿宋"/>
          <w:sz w:val="30"/>
          <w:szCs w:val="30"/>
        </w:rPr>
        <w:t>%，主要原因是：</w:t>
      </w:r>
      <w:r>
        <w:rPr>
          <w:rFonts w:hint="eastAsia" w:ascii="仿宋" w:hAnsi="仿宋" w:eastAsia="仿宋"/>
          <w:sz w:val="30"/>
          <w:szCs w:val="30"/>
          <w:lang w:val="en-US" w:eastAsia="zh-CN"/>
        </w:rPr>
        <w:t>追加退役士兵社保接续、部分企业军队退役人员生活补助等专项支出。</w:t>
      </w:r>
    </w:p>
    <w:p w14:paraId="139F45C3">
      <w:pPr>
        <w:ind w:firstLine="630"/>
        <w:jc w:val="left"/>
        <w:rPr>
          <w:rFonts w:hint="default" w:ascii="仿宋" w:hAnsi="仿宋" w:eastAsia="仿宋"/>
          <w:sz w:val="30"/>
          <w:szCs w:val="30"/>
          <w:lang w:val="en-US" w:eastAsia="zh-CN"/>
        </w:rPr>
      </w:pPr>
      <w:r>
        <w:rPr>
          <w:rFonts w:hint="eastAsia" w:ascii="仿宋" w:hAnsi="仿宋" w:eastAsia="仿宋"/>
          <w:sz w:val="30"/>
          <w:szCs w:val="30"/>
        </w:rPr>
        <w:t>（</w:t>
      </w:r>
      <w:r>
        <w:rPr>
          <w:rFonts w:hint="eastAsia" w:ascii="仿宋" w:hAnsi="仿宋" w:eastAsia="仿宋"/>
          <w:sz w:val="30"/>
          <w:szCs w:val="30"/>
          <w:lang w:val="en-US" w:eastAsia="zh-CN"/>
        </w:rPr>
        <w:t>二</w:t>
      </w:r>
      <w:r>
        <w:rPr>
          <w:rFonts w:hint="eastAsia" w:ascii="仿宋" w:hAnsi="仿宋" w:eastAsia="仿宋"/>
          <w:sz w:val="30"/>
          <w:szCs w:val="30"/>
        </w:rPr>
        <w:t>）</w:t>
      </w:r>
      <w:r>
        <w:rPr>
          <w:rFonts w:hint="eastAsia" w:ascii="仿宋" w:hAnsi="仿宋" w:eastAsia="仿宋"/>
          <w:sz w:val="30"/>
          <w:szCs w:val="30"/>
          <w:lang w:eastAsia="zh-CN"/>
        </w:rPr>
        <w:t>卫生健康支出</w:t>
      </w:r>
      <w:r>
        <w:rPr>
          <w:rFonts w:hint="eastAsia" w:ascii="仿宋" w:hAnsi="仿宋" w:eastAsia="仿宋"/>
          <w:sz w:val="30"/>
          <w:szCs w:val="30"/>
        </w:rPr>
        <w:t>年初预算数为</w:t>
      </w:r>
      <w:r>
        <w:rPr>
          <w:rFonts w:hint="eastAsia" w:ascii="仿宋" w:hAnsi="仿宋" w:eastAsia="仿宋"/>
          <w:sz w:val="30"/>
          <w:szCs w:val="30"/>
          <w:lang w:val="en-US" w:eastAsia="zh-CN"/>
        </w:rPr>
        <w:t>10.3</w:t>
      </w:r>
      <w:r>
        <w:rPr>
          <w:rFonts w:hint="eastAsia" w:ascii="仿宋" w:hAnsi="仿宋" w:eastAsia="仿宋"/>
          <w:sz w:val="30"/>
          <w:szCs w:val="30"/>
        </w:rPr>
        <w:t>万元，决算数为</w:t>
      </w:r>
      <w:r>
        <w:rPr>
          <w:rFonts w:hint="eastAsia" w:ascii="仿宋" w:hAnsi="仿宋" w:eastAsia="仿宋"/>
          <w:sz w:val="30"/>
          <w:szCs w:val="30"/>
          <w:lang w:val="en-US" w:eastAsia="zh-CN"/>
        </w:rPr>
        <w:t>23.3</w:t>
      </w:r>
      <w:r>
        <w:rPr>
          <w:rFonts w:hint="eastAsia" w:ascii="仿宋" w:hAnsi="仿宋" w:eastAsia="仿宋"/>
          <w:sz w:val="30"/>
          <w:szCs w:val="30"/>
        </w:rPr>
        <w:t>万元，完成年初预算的</w:t>
      </w:r>
      <w:r>
        <w:rPr>
          <w:rFonts w:hint="eastAsia" w:ascii="仿宋" w:hAnsi="仿宋" w:eastAsia="仿宋"/>
          <w:sz w:val="30"/>
          <w:szCs w:val="30"/>
          <w:lang w:val="en-US" w:eastAsia="zh-CN"/>
        </w:rPr>
        <w:t>226.21</w:t>
      </w:r>
      <w:r>
        <w:rPr>
          <w:rFonts w:hint="eastAsia" w:ascii="仿宋" w:hAnsi="仿宋" w:eastAsia="仿宋"/>
          <w:sz w:val="30"/>
          <w:szCs w:val="30"/>
        </w:rPr>
        <w:t>%</w:t>
      </w:r>
      <w:r>
        <w:rPr>
          <w:rFonts w:hint="eastAsia" w:ascii="仿宋" w:hAnsi="仿宋" w:eastAsia="仿宋"/>
          <w:sz w:val="30"/>
          <w:szCs w:val="30"/>
          <w:lang w:eastAsia="zh-CN"/>
        </w:rPr>
        <w:t>，</w:t>
      </w:r>
      <w:r>
        <w:rPr>
          <w:rFonts w:hint="eastAsia" w:ascii="仿宋" w:hAnsi="仿宋" w:eastAsia="仿宋"/>
          <w:sz w:val="30"/>
          <w:szCs w:val="30"/>
          <w:lang w:val="en-US" w:eastAsia="zh-CN"/>
        </w:rPr>
        <w:t>主要原因是：追加优抚对象医疗补助经费。</w:t>
      </w:r>
    </w:p>
    <w:p w14:paraId="7B366E6B">
      <w:pPr>
        <w:ind w:firstLine="630"/>
        <w:jc w:val="left"/>
        <w:rPr>
          <w:rFonts w:hint="eastAsia" w:ascii="仿宋" w:hAnsi="仿宋" w:eastAsia="仿宋"/>
          <w:sz w:val="30"/>
          <w:szCs w:val="30"/>
          <w:lang w:val="en-US" w:eastAsia="zh-CN"/>
        </w:rPr>
      </w:pPr>
      <w:r>
        <w:rPr>
          <w:rFonts w:hint="eastAsia" w:ascii="仿宋" w:hAnsi="仿宋" w:eastAsia="仿宋"/>
          <w:sz w:val="30"/>
          <w:szCs w:val="30"/>
          <w:lang w:val="en-US" w:eastAsia="zh-CN"/>
        </w:rPr>
        <w:t>（三）住房保障支出年初预算数为22.27万元，决算数为22.27万元，完成年初预算的100%。</w:t>
      </w:r>
    </w:p>
    <w:p w14:paraId="610CF1D1">
      <w:pPr>
        <w:pStyle w:val="2"/>
        <w:rPr>
          <w:rFonts w:hint="default"/>
          <w:lang w:val="en-US" w:eastAsia="zh-CN"/>
        </w:rPr>
      </w:pPr>
      <w:r>
        <w:rPr>
          <w:rFonts w:hint="eastAsia" w:ascii="仿宋" w:hAnsi="仿宋" w:eastAsia="仿宋"/>
          <w:sz w:val="30"/>
          <w:szCs w:val="30"/>
          <w:lang w:val="en-US" w:eastAsia="zh-CN"/>
        </w:rPr>
        <w:t xml:space="preserve">    （四）其他支出年初预算数为0万元，决算数为12.05万元，主要原因是：年末下达预发规范后奖励性工资。</w:t>
      </w:r>
    </w:p>
    <w:p w14:paraId="467EF69F">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14:paraId="1899F58F">
      <w:pPr>
        <w:ind w:firstLine="585"/>
        <w:jc w:val="left"/>
        <w:rPr>
          <w:rFonts w:hint="eastAsia" w:ascii="仿宋" w:hAnsi="仿宋" w:eastAsia="仿宋"/>
          <w:sz w:val="30"/>
          <w:szCs w:val="30"/>
        </w:rPr>
      </w:pPr>
      <w:r>
        <w:rPr>
          <w:rFonts w:hint="eastAsia" w:ascii="仿宋" w:hAnsi="仿宋" w:eastAsia="仿宋"/>
          <w:sz w:val="30"/>
          <w:szCs w:val="30"/>
        </w:rPr>
        <w:t>本</w:t>
      </w:r>
      <w:r>
        <w:rPr>
          <w:rFonts w:hint="eastAsia" w:ascii="仿宋" w:hAnsi="仿宋" w:eastAsia="仿宋"/>
          <w:sz w:val="30"/>
          <w:szCs w:val="30"/>
          <w:lang w:val="en-US" w:eastAsia="zh-CN"/>
        </w:rPr>
        <w:t>单位</w:t>
      </w:r>
      <w:r>
        <w:rPr>
          <w:rFonts w:hint="eastAsia" w:ascii="仿宋" w:hAnsi="仿宋" w:eastAsia="仿宋"/>
          <w:sz w:val="30"/>
          <w:szCs w:val="30"/>
          <w:lang w:eastAsia="zh-CN"/>
        </w:rPr>
        <w:t>2021</w:t>
      </w:r>
      <w:r>
        <w:rPr>
          <w:rFonts w:hint="eastAsia" w:ascii="仿宋" w:hAnsi="仿宋" w:eastAsia="仿宋"/>
          <w:sz w:val="30"/>
          <w:szCs w:val="30"/>
        </w:rPr>
        <w:t>年度一般公共预算财政拨款基本支出</w:t>
      </w:r>
      <w:r>
        <w:rPr>
          <w:rFonts w:hint="eastAsia" w:ascii="仿宋" w:hAnsi="仿宋" w:eastAsia="仿宋"/>
          <w:sz w:val="30"/>
          <w:szCs w:val="30"/>
          <w:lang w:val="en-US" w:eastAsia="zh-CN"/>
        </w:rPr>
        <w:t>304.3</w:t>
      </w:r>
      <w:r>
        <w:rPr>
          <w:rFonts w:hint="eastAsia" w:ascii="仿宋" w:hAnsi="仿宋" w:eastAsia="仿宋"/>
          <w:sz w:val="30"/>
          <w:szCs w:val="30"/>
        </w:rPr>
        <w:t>万元，其中：</w:t>
      </w:r>
    </w:p>
    <w:p w14:paraId="03068D69">
      <w:pPr>
        <w:numPr>
          <w:ilvl w:val="0"/>
          <w:numId w:val="2"/>
        </w:numPr>
        <w:ind w:firstLine="585"/>
        <w:jc w:val="left"/>
        <w:rPr>
          <w:rFonts w:hint="eastAsia" w:ascii="仿宋" w:hAnsi="仿宋" w:eastAsia="仿宋"/>
          <w:sz w:val="30"/>
          <w:szCs w:val="30"/>
          <w:lang w:val="en-US" w:eastAsia="zh-CN"/>
        </w:rPr>
      </w:pPr>
      <w:r>
        <w:rPr>
          <w:rFonts w:hint="eastAsia" w:ascii="仿宋" w:hAnsi="仿宋" w:eastAsia="仿宋"/>
          <w:sz w:val="30"/>
          <w:szCs w:val="30"/>
        </w:rPr>
        <w:t>工资福利支出</w:t>
      </w:r>
      <w:r>
        <w:rPr>
          <w:rFonts w:hint="eastAsia" w:ascii="仿宋" w:hAnsi="仿宋" w:eastAsia="仿宋"/>
          <w:sz w:val="30"/>
          <w:szCs w:val="30"/>
          <w:lang w:val="en-US" w:eastAsia="zh-CN"/>
        </w:rPr>
        <w:t>258.34</w:t>
      </w:r>
      <w:r>
        <w:rPr>
          <w:rFonts w:hint="eastAsia" w:ascii="仿宋" w:hAnsi="仿宋" w:eastAsia="仿宋"/>
          <w:sz w:val="30"/>
          <w:szCs w:val="30"/>
        </w:rPr>
        <w:t>万元，较</w:t>
      </w:r>
      <w:r>
        <w:rPr>
          <w:rFonts w:hint="eastAsia" w:ascii="仿宋" w:hAnsi="仿宋" w:eastAsia="仿宋"/>
          <w:sz w:val="30"/>
          <w:szCs w:val="30"/>
          <w:lang w:eastAsia="zh-CN"/>
        </w:rPr>
        <w:t>2020</w:t>
      </w:r>
      <w:r>
        <w:rPr>
          <w:rFonts w:hint="eastAsia" w:ascii="仿宋" w:hAnsi="仿宋" w:eastAsia="仿宋"/>
          <w:sz w:val="30"/>
          <w:szCs w:val="30"/>
        </w:rPr>
        <w:t>年增加</w:t>
      </w:r>
      <w:r>
        <w:rPr>
          <w:rFonts w:hint="eastAsia" w:ascii="仿宋" w:hAnsi="仿宋" w:eastAsia="仿宋"/>
          <w:sz w:val="30"/>
          <w:szCs w:val="30"/>
          <w:lang w:val="en-US" w:eastAsia="zh-CN"/>
        </w:rPr>
        <w:t>78.79</w:t>
      </w:r>
      <w:r>
        <w:rPr>
          <w:rFonts w:hint="eastAsia" w:ascii="仿宋" w:hAnsi="仿宋" w:eastAsia="仿宋"/>
          <w:sz w:val="30"/>
          <w:szCs w:val="30"/>
        </w:rPr>
        <w:t>万元，增长</w:t>
      </w:r>
      <w:r>
        <w:rPr>
          <w:rFonts w:hint="eastAsia" w:ascii="仿宋" w:hAnsi="仿宋" w:eastAsia="仿宋"/>
          <w:sz w:val="30"/>
          <w:szCs w:val="30"/>
          <w:lang w:val="en-US" w:eastAsia="zh-CN"/>
        </w:rPr>
        <w:t>43.88</w:t>
      </w:r>
      <w:r>
        <w:rPr>
          <w:rFonts w:hint="eastAsia" w:ascii="仿宋" w:hAnsi="仿宋" w:eastAsia="仿宋"/>
          <w:sz w:val="30"/>
          <w:szCs w:val="30"/>
        </w:rPr>
        <w:t>%，主要原因是：</w:t>
      </w:r>
      <w:r>
        <w:rPr>
          <w:rFonts w:hint="eastAsia" w:ascii="仿宋" w:hAnsi="仿宋" w:eastAsia="仿宋"/>
          <w:sz w:val="30"/>
          <w:szCs w:val="30"/>
          <w:lang w:val="en-US" w:eastAsia="zh-CN"/>
        </w:rPr>
        <w:t>工资正常晋级晋档及预发规范后奖励性工资。</w:t>
      </w:r>
    </w:p>
    <w:p w14:paraId="5419465F">
      <w:pPr>
        <w:numPr>
          <w:ilvl w:val="0"/>
          <w:numId w:val="0"/>
        </w:numPr>
        <w:ind w:firstLine="600" w:firstLineChars="200"/>
        <w:jc w:val="left"/>
        <w:rPr>
          <w:rFonts w:hint="eastAsia" w:ascii="仿宋" w:hAnsi="仿宋" w:eastAsia="仿宋"/>
          <w:sz w:val="30"/>
          <w:szCs w:val="30"/>
        </w:rPr>
      </w:pPr>
      <w:r>
        <w:rPr>
          <w:rFonts w:hint="eastAsia" w:ascii="仿宋" w:hAnsi="仿宋" w:eastAsia="仿宋"/>
          <w:sz w:val="30"/>
          <w:szCs w:val="30"/>
        </w:rPr>
        <w:t>（二）商品和服务支出</w:t>
      </w:r>
      <w:r>
        <w:rPr>
          <w:rFonts w:hint="eastAsia" w:ascii="仿宋" w:hAnsi="仿宋" w:eastAsia="仿宋"/>
          <w:sz w:val="30"/>
          <w:szCs w:val="30"/>
          <w:lang w:val="en-US" w:eastAsia="zh-CN"/>
        </w:rPr>
        <w:t>45.95</w:t>
      </w:r>
      <w:r>
        <w:rPr>
          <w:rFonts w:hint="eastAsia" w:ascii="仿宋" w:hAnsi="仿宋" w:eastAsia="仿宋"/>
          <w:sz w:val="30"/>
          <w:szCs w:val="30"/>
        </w:rPr>
        <w:t>万元，较</w:t>
      </w:r>
      <w:r>
        <w:rPr>
          <w:rFonts w:hint="eastAsia" w:ascii="仿宋" w:hAnsi="仿宋" w:eastAsia="仿宋"/>
          <w:sz w:val="30"/>
          <w:szCs w:val="30"/>
          <w:lang w:eastAsia="zh-CN"/>
        </w:rPr>
        <w:t>2020</w:t>
      </w:r>
      <w:r>
        <w:rPr>
          <w:rFonts w:hint="eastAsia" w:ascii="仿宋" w:hAnsi="仿宋" w:eastAsia="仿宋"/>
          <w:sz w:val="30"/>
          <w:szCs w:val="30"/>
        </w:rPr>
        <w:t>年</w:t>
      </w:r>
      <w:r>
        <w:rPr>
          <w:rFonts w:hint="eastAsia" w:ascii="仿宋" w:hAnsi="仿宋" w:eastAsia="仿宋"/>
          <w:sz w:val="30"/>
          <w:szCs w:val="30"/>
          <w:lang w:val="en-US" w:eastAsia="zh-CN"/>
        </w:rPr>
        <w:t>增加45.49</w:t>
      </w:r>
      <w:r>
        <w:rPr>
          <w:rFonts w:hint="eastAsia" w:ascii="仿宋" w:hAnsi="仿宋" w:eastAsia="仿宋"/>
          <w:sz w:val="30"/>
          <w:szCs w:val="30"/>
        </w:rPr>
        <w:t>万元，</w:t>
      </w:r>
      <w:r>
        <w:rPr>
          <w:rFonts w:hint="eastAsia" w:ascii="仿宋" w:hAnsi="仿宋" w:eastAsia="仿宋"/>
          <w:sz w:val="30"/>
          <w:szCs w:val="30"/>
          <w:lang w:val="en-US" w:eastAsia="zh-CN"/>
        </w:rPr>
        <w:t>增长9889.13</w:t>
      </w:r>
      <w:r>
        <w:rPr>
          <w:rFonts w:hint="eastAsia" w:ascii="仿宋" w:hAnsi="仿宋" w:eastAsia="仿宋"/>
          <w:sz w:val="30"/>
          <w:szCs w:val="30"/>
        </w:rPr>
        <w:t>%，主要原因是：</w:t>
      </w:r>
      <w:r>
        <w:rPr>
          <w:rFonts w:hint="eastAsia" w:ascii="仿宋" w:hAnsi="仿宋" w:eastAsia="仿宋"/>
          <w:sz w:val="30"/>
          <w:szCs w:val="30"/>
          <w:lang w:val="en-US" w:eastAsia="zh-CN"/>
        </w:rPr>
        <w:t>上年在项目中支出，今年调整科目</w:t>
      </w:r>
      <w:r>
        <w:rPr>
          <w:rFonts w:hint="eastAsia" w:ascii="仿宋" w:hAnsi="仿宋" w:eastAsia="仿宋"/>
          <w:sz w:val="30"/>
          <w:szCs w:val="30"/>
        </w:rPr>
        <w:t>。</w:t>
      </w:r>
    </w:p>
    <w:p w14:paraId="354FFB42">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14:paraId="4B4500F3">
      <w:pPr>
        <w:ind w:firstLine="630"/>
        <w:jc w:val="left"/>
        <w:rPr>
          <w:rFonts w:hint="eastAsia" w:ascii="仿宋" w:hAnsi="仿宋" w:eastAsia="仿宋"/>
          <w:sz w:val="30"/>
          <w:szCs w:val="30"/>
        </w:rPr>
      </w:pPr>
      <w:r>
        <w:rPr>
          <w:rFonts w:hint="eastAsia" w:ascii="仿宋" w:hAnsi="仿宋" w:eastAsia="仿宋"/>
          <w:sz w:val="30"/>
          <w:szCs w:val="30"/>
        </w:rPr>
        <w:t>本</w:t>
      </w:r>
      <w:r>
        <w:rPr>
          <w:rFonts w:hint="eastAsia" w:ascii="仿宋" w:hAnsi="仿宋" w:eastAsia="仿宋"/>
          <w:sz w:val="30"/>
          <w:szCs w:val="30"/>
          <w:lang w:val="en-US" w:eastAsia="zh-CN"/>
        </w:rPr>
        <w:t>单位</w:t>
      </w:r>
      <w:r>
        <w:rPr>
          <w:rFonts w:hint="eastAsia" w:ascii="仿宋" w:hAnsi="仿宋" w:eastAsia="仿宋"/>
          <w:sz w:val="30"/>
          <w:szCs w:val="30"/>
          <w:lang w:eastAsia="zh-CN"/>
        </w:rPr>
        <w:t>2021</w:t>
      </w:r>
      <w:r>
        <w:rPr>
          <w:rFonts w:hint="eastAsia" w:ascii="仿宋" w:hAnsi="仿宋" w:eastAsia="仿宋"/>
          <w:sz w:val="30"/>
          <w:szCs w:val="30"/>
        </w:rPr>
        <w:t>年度一般公共预算财政拨款“三公”经费支出年初预算数为</w:t>
      </w:r>
      <w:r>
        <w:rPr>
          <w:rFonts w:hint="eastAsia" w:ascii="仿宋" w:hAnsi="仿宋" w:eastAsia="仿宋"/>
          <w:sz w:val="30"/>
          <w:szCs w:val="30"/>
          <w:lang w:val="en-US" w:eastAsia="zh-CN"/>
        </w:rPr>
        <w:t>1.27</w:t>
      </w:r>
      <w:r>
        <w:rPr>
          <w:rFonts w:hint="eastAsia" w:ascii="仿宋" w:hAnsi="仿宋" w:eastAsia="仿宋"/>
          <w:sz w:val="30"/>
          <w:szCs w:val="30"/>
        </w:rPr>
        <w:t>万元，决算数为</w:t>
      </w:r>
      <w:r>
        <w:rPr>
          <w:rFonts w:hint="eastAsia" w:ascii="仿宋" w:hAnsi="仿宋" w:eastAsia="仿宋"/>
          <w:sz w:val="30"/>
          <w:szCs w:val="30"/>
          <w:lang w:val="en-US" w:eastAsia="zh-CN"/>
        </w:rPr>
        <w:t>1.27</w:t>
      </w:r>
      <w:r>
        <w:rPr>
          <w:rFonts w:hint="eastAsia" w:ascii="仿宋" w:hAnsi="仿宋" w:eastAsia="仿宋"/>
          <w:sz w:val="30"/>
          <w:szCs w:val="30"/>
        </w:rPr>
        <w:t>万元，完成预算的</w:t>
      </w:r>
      <w:r>
        <w:rPr>
          <w:rFonts w:hint="eastAsia" w:ascii="仿宋" w:hAnsi="仿宋" w:eastAsia="仿宋"/>
          <w:sz w:val="30"/>
          <w:szCs w:val="30"/>
          <w:lang w:val="en-US" w:eastAsia="zh-CN"/>
        </w:rPr>
        <w:t>100</w:t>
      </w:r>
      <w:r>
        <w:rPr>
          <w:rFonts w:hint="eastAsia" w:ascii="仿宋" w:hAnsi="仿宋" w:eastAsia="仿宋"/>
          <w:sz w:val="30"/>
          <w:szCs w:val="30"/>
        </w:rPr>
        <w:t>%，决算数较</w:t>
      </w:r>
      <w:r>
        <w:rPr>
          <w:rFonts w:hint="eastAsia" w:ascii="仿宋" w:hAnsi="仿宋" w:eastAsia="仿宋"/>
          <w:sz w:val="30"/>
          <w:szCs w:val="30"/>
          <w:lang w:eastAsia="zh-CN"/>
        </w:rPr>
        <w:t>2020</w:t>
      </w:r>
      <w:r>
        <w:rPr>
          <w:rFonts w:hint="eastAsia" w:ascii="仿宋" w:hAnsi="仿宋" w:eastAsia="仿宋"/>
          <w:sz w:val="30"/>
          <w:szCs w:val="30"/>
        </w:rPr>
        <w:t>年增加</w:t>
      </w:r>
      <w:r>
        <w:rPr>
          <w:rFonts w:hint="eastAsia" w:ascii="仿宋" w:hAnsi="仿宋" w:eastAsia="仿宋"/>
          <w:sz w:val="30"/>
          <w:szCs w:val="30"/>
          <w:lang w:val="en-US" w:eastAsia="zh-CN"/>
        </w:rPr>
        <w:t>0.52</w:t>
      </w:r>
      <w:r>
        <w:rPr>
          <w:rFonts w:hint="eastAsia" w:ascii="仿宋" w:hAnsi="仿宋" w:eastAsia="仿宋"/>
          <w:sz w:val="30"/>
          <w:szCs w:val="30"/>
        </w:rPr>
        <w:t>万元，增长</w:t>
      </w:r>
      <w:r>
        <w:rPr>
          <w:rFonts w:hint="eastAsia" w:ascii="仿宋" w:hAnsi="仿宋" w:eastAsia="仿宋"/>
          <w:sz w:val="30"/>
          <w:szCs w:val="30"/>
          <w:lang w:val="en-US" w:eastAsia="zh-CN"/>
        </w:rPr>
        <w:t>69.33</w:t>
      </w:r>
      <w:r>
        <w:rPr>
          <w:rFonts w:hint="eastAsia" w:ascii="仿宋" w:hAnsi="仿宋" w:eastAsia="仿宋"/>
          <w:sz w:val="30"/>
          <w:szCs w:val="30"/>
        </w:rPr>
        <w:t>%，其中：</w:t>
      </w:r>
    </w:p>
    <w:p w14:paraId="5A28DB0C">
      <w:pPr>
        <w:ind w:firstLine="630"/>
        <w:jc w:val="left"/>
        <w:rPr>
          <w:rFonts w:hint="default" w:ascii="仿宋" w:hAnsi="仿宋" w:eastAsia="仿宋"/>
          <w:sz w:val="30"/>
          <w:szCs w:val="30"/>
          <w:lang w:val="en-US"/>
        </w:rPr>
      </w:pPr>
      <w:r>
        <w:rPr>
          <w:rFonts w:hint="eastAsia" w:ascii="仿宋" w:hAnsi="仿宋" w:eastAsia="仿宋"/>
          <w:sz w:val="30"/>
          <w:szCs w:val="30"/>
        </w:rPr>
        <w:t>（一）因公出国（境）支出年初预算数为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 xml:space="preserve"> %，决算数较</w:t>
      </w:r>
      <w:r>
        <w:rPr>
          <w:rFonts w:hint="eastAsia" w:ascii="仿宋" w:hAnsi="仿宋" w:eastAsia="仿宋"/>
          <w:sz w:val="30"/>
          <w:szCs w:val="30"/>
          <w:lang w:eastAsia="zh-CN"/>
        </w:rPr>
        <w:t>2020</w:t>
      </w:r>
      <w:r>
        <w:rPr>
          <w:rFonts w:hint="eastAsia" w:ascii="仿宋" w:hAnsi="仿宋" w:eastAsia="仿宋"/>
          <w:sz w:val="30"/>
          <w:szCs w:val="30"/>
        </w:rPr>
        <w:t>年增加（减少）</w:t>
      </w:r>
      <w:r>
        <w:rPr>
          <w:rFonts w:hint="eastAsia" w:ascii="仿宋" w:hAnsi="仿宋" w:eastAsia="仿宋"/>
          <w:sz w:val="30"/>
          <w:szCs w:val="30"/>
          <w:lang w:val="en-US" w:eastAsia="zh-CN"/>
        </w:rPr>
        <w:t>0</w:t>
      </w:r>
      <w:r>
        <w:rPr>
          <w:rFonts w:hint="eastAsia" w:ascii="仿宋" w:hAnsi="仿宋" w:eastAsia="仿宋"/>
          <w:sz w:val="30"/>
          <w:szCs w:val="30"/>
        </w:rPr>
        <w:t>万元，增长（下降）</w:t>
      </w:r>
      <w:r>
        <w:rPr>
          <w:rFonts w:hint="eastAsia" w:ascii="仿宋" w:hAnsi="仿宋" w:eastAsia="仿宋"/>
          <w:sz w:val="30"/>
          <w:szCs w:val="30"/>
          <w:lang w:val="en-US" w:eastAsia="zh-CN"/>
        </w:rPr>
        <w:t>0</w:t>
      </w:r>
      <w:r>
        <w:rPr>
          <w:rFonts w:hint="eastAsia" w:ascii="仿宋" w:hAnsi="仿宋" w:eastAsia="仿宋"/>
          <w:sz w:val="30"/>
          <w:szCs w:val="30"/>
        </w:rPr>
        <w:t>%。</w:t>
      </w:r>
    </w:p>
    <w:p w14:paraId="6DBC90B6">
      <w:pPr>
        <w:ind w:firstLine="630"/>
        <w:jc w:val="left"/>
        <w:rPr>
          <w:rFonts w:hint="default" w:ascii="仿宋" w:hAnsi="仿宋" w:eastAsia="仿宋"/>
          <w:sz w:val="30"/>
          <w:szCs w:val="30"/>
          <w:lang w:val="en-US" w:eastAsia="zh-CN"/>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1.27</w:t>
      </w:r>
      <w:r>
        <w:rPr>
          <w:rFonts w:hint="eastAsia" w:ascii="仿宋" w:hAnsi="仿宋" w:eastAsia="仿宋"/>
          <w:sz w:val="30"/>
          <w:szCs w:val="30"/>
        </w:rPr>
        <w:t>万元，决算数为</w:t>
      </w:r>
      <w:r>
        <w:rPr>
          <w:rFonts w:hint="eastAsia" w:ascii="仿宋" w:hAnsi="仿宋" w:eastAsia="仿宋"/>
          <w:sz w:val="30"/>
          <w:szCs w:val="30"/>
          <w:lang w:val="en-US" w:eastAsia="zh-CN"/>
        </w:rPr>
        <w:t>1.27</w:t>
      </w:r>
      <w:r>
        <w:rPr>
          <w:rFonts w:hint="eastAsia" w:ascii="仿宋" w:hAnsi="仿宋" w:eastAsia="仿宋"/>
          <w:sz w:val="30"/>
          <w:szCs w:val="30"/>
        </w:rPr>
        <w:t>万元，完成预算的</w:t>
      </w:r>
      <w:r>
        <w:rPr>
          <w:rFonts w:hint="eastAsia" w:ascii="仿宋" w:hAnsi="仿宋" w:eastAsia="仿宋"/>
          <w:sz w:val="30"/>
          <w:szCs w:val="30"/>
          <w:lang w:val="en-US" w:eastAsia="zh-CN"/>
        </w:rPr>
        <w:t>100</w:t>
      </w:r>
      <w:r>
        <w:rPr>
          <w:rFonts w:hint="eastAsia" w:ascii="仿宋" w:hAnsi="仿宋" w:eastAsia="仿宋"/>
          <w:sz w:val="30"/>
          <w:szCs w:val="30"/>
        </w:rPr>
        <w:t>%，决算数较</w:t>
      </w:r>
      <w:r>
        <w:rPr>
          <w:rFonts w:hint="eastAsia" w:ascii="仿宋" w:hAnsi="仿宋" w:eastAsia="仿宋"/>
          <w:sz w:val="30"/>
          <w:szCs w:val="30"/>
          <w:lang w:eastAsia="zh-CN"/>
        </w:rPr>
        <w:t>2020</w:t>
      </w:r>
      <w:r>
        <w:rPr>
          <w:rFonts w:hint="eastAsia" w:ascii="仿宋" w:hAnsi="仿宋" w:eastAsia="仿宋"/>
          <w:sz w:val="30"/>
          <w:szCs w:val="30"/>
        </w:rPr>
        <w:t>年增加</w:t>
      </w:r>
      <w:r>
        <w:rPr>
          <w:rFonts w:hint="eastAsia" w:ascii="仿宋" w:hAnsi="仿宋" w:eastAsia="仿宋"/>
          <w:sz w:val="30"/>
          <w:szCs w:val="30"/>
          <w:lang w:val="en-US" w:eastAsia="zh-CN"/>
        </w:rPr>
        <w:t>0.52</w:t>
      </w:r>
      <w:r>
        <w:rPr>
          <w:rFonts w:hint="eastAsia" w:ascii="仿宋" w:hAnsi="仿宋" w:eastAsia="仿宋"/>
          <w:sz w:val="30"/>
          <w:szCs w:val="30"/>
        </w:rPr>
        <w:t>万元，增长</w:t>
      </w:r>
      <w:r>
        <w:rPr>
          <w:rFonts w:hint="eastAsia" w:ascii="仿宋" w:hAnsi="仿宋" w:eastAsia="仿宋"/>
          <w:sz w:val="30"/>
          <w:szCs w:val="30"/>
          <w:lang w:val="en-US" w:eastAsia="zh-CN"/>
        </w:rPr>
        <w:t>69.33</w:t>
      </w:r>
      <w:r>
        <w:rPr>
          <w:rFonts w:hint="eastAsia" w:ascii="仿宋" w:hAnsi="仿宋" w:eastAsia="仿宋"/>
          <w:sz w:val="30"/>
          <w:szCs w:val="30"/>
        </w:rPr>
        <w:t>%</w:t>
      </w:r>
      <w:r>
        <w:rPr>
          <w:rFonts w:hint="eastAsia" w:ascii="仿宋" w:hAnsi="仿宋" w:eastAsia="仿宋"/>
          <w:sz w:val="30"/>
          <w:szCs w:val="30"/>
          <w:lang w:eastAsia="zh-CN"/>
        </w:rPr>
        <w:t>，</w:t>
      </w:r>
      <w:r>
        <w:rPr>
          <w:rFonts w:hint="eastAsia" w:ascii="仿宋" w:hAnsi="仿宋" w:eastAsia="仿宋" w:cs="Times New Roman"/>
          <w:sz w:val="30"/>
          <w:szCs w:val="30"/>
          <w:lang w:val="en-US" w:eastAsia="zh-CN"/>
        </w:rPr>
        <w:t>主要原因接待活动增加</w:t>
      </w:r>
      <w:r>
        <w:rPr>
          <w:rFonts w:hint="eastAsia" w:ascii="仿宋" w:hAnsi="仿宋" w:eastAsia="仿宋"/>
          <w:sz w:val="30"/>
          <w:szCs w:val="30"/>
        </w:rPr>
        <w:t>。决算数较年初预算数</w:t>
      </w:r>
      <w:r>
        <w:rPr>
          <w:rFonts w:hint="eastAsia" w:ascii="仿宋" w:hAnsi="仿宋" w:eastAsia="仿宋"/>
          <w:sz w:val="30"/>
          <w:szCs w:val="30"/>
          <w:lang w:val="en-US" w:eastAsia="zh-CN"/>
        </w:rPr>
        <w:t>无增减变动</w:t>
      </w:r>
      <w:r>
        <w:rPr>
          <w:rFonts w:hint="eastAsia" w:ascii="仿宋" w:hAnsi="仿宋" w:eastAsia="仿宋"/>
          <w:sz w:val="30"/>
          <w:szCs w:val="30"/>
        </w:rPr>
        <w:t>。</w:t>
      </w:r>
      <w:r>
        <w:rPr>
          <w:rFonts w:hint="eastAsia" w:ascii="仿宋" w:hAnsi="仿宋" w:eastAsia="仿宋"/>
          <w:sz w:val="30"/>
          <w:szCs w:val="30"/>
          <w:lang w:val="en-US" w:eastAsia="zh-CN"/>
        </w:rPr>
        <w:t>全年国内公务接待14批，累计接待111人次，其中外事接待0批，累计接待0人次</w:t>
      </w:r>
      <w:r>
        <w:rPr>
          <w:rFonts w:hint="eastAsia" w:ascii="仿宋" w:hAnsi="仿宋" w:eastAsia="仿宋"/>
          <w:sz w:val="30"/>
          <w:szCs w:val="30"/>
        </w:rPr>
        <w:t>。</w:t>
      </w:r>
    </w:p>
    <w:p w14:paraId="40AE3BF1">
      <w:pPr>
        <w:ind w:firstLine="630"/>
        <w:jc w:val="left"/>
        <w:rPr>
          <w:rFonts w:hint="eastAsia" w:ascii="仿宋" w:hAnsi="仿宋" w:eastAsia="仿宋"/>
          <w:sz w:val="30"/>
          <w:szCs w:val="30"/>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0</w:t>
      </w:r>
      <w:r>
        <w:rPr>
          <w:rFonts w:hint="eastAsia" w:ascii="仿宋" w:hAnsi="仿宋" w:eastAsia="仿宋"/>
          <w:sz w:val="30"/>
          <w:szCs w:val="30"/>
        </w:rPr>
        <w:t>万元，其中公务用车购置年初预算数为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 xml:space="preserve"> %，决算数较</w:t>
      </w:r>
      <w:r>
        <w:rPr>
          <w:rFonts w:hint="eastAsia" w:ascii="仿宋" w:hAnsi="仿宋" w:eastAsia="仿宋"/>
          <w:sz w:val="30"/>
          <w:szCs w:val="30"/>
          <w:lang w:eastAsia="zh-CN"/>
        </w:rPr>
        <w:t>2020</w:t>
      </w:r>
      <w:r>
        <w:rPr>
          <w:rFonts w:hint="eastAsia" w:ascii="仿宋" w:hAnsi="仿宋" w:eastAsia="仿宋"/>
          <w:sz w:val="30"/>
          <w:szCs w:val="30"/>
        </w:rPr>
        <w:t>年增加（减少）</w:t>
      </w:r>
      <w:r>
        <w:rPr>
          <w:rFonts w:hint="eastAsia" w:ascii="仿宋" w:hAnsi="仿宋" w:eastAsia="仿宋"/>
          <w:sz w:val="30"/>
          <w:szCs w:val="30"/>
          <w:lang w:val="en-US" w:eastAsia="zh-CN"/>
        </w:rPr>
        <w:t>0</w:t>
      </w:r>
      <w:r>
        <w:rPr>
          <w:rFonts w:hint="eastAsia" w:ascii="仿宋" w:hAnsi="仿宋" w:eastAsia="仿宋"/>
          <w:sz w:val="30"/>
          <w:szCs w:val="30"/>
        </w:rPr>
        <w:t>万元，增长（下降）</w:t>
      </w:r>
      <w:r>
        <w:rPr>
          <w:rFonts w:hint="eastAsia" w:ascii="仿宋" w:hAnsi="仿宋" w:eastAsia="仿宋"/>
          <w:sz w:val="30"/>
          <w:szCs w:val="30"/>
          <w:lang w:val="en-US" w:eastAsia="zh-CN"/>
        </w:rPr>
        <w:t>0</w:t>
      </w:r>
      <w:r>
        <w:rPr>
          <w:rFonts w:hint="eastAsia" w:ascii="仿宋" w:hAnsi="仿宋" w:eastAsia="仿宋"/>
          <w:sz w:val="30"/>
          <w:szCs w:val="30"/>
        </w:rPr>
        <w:t xml:space="preserve"> %</w:t>
      </w:r>
      <w:r>
        <w:rPr>
          <w:rFonts w:hint="eastAsia" w:ascii="仿宋" w:hAnsi="仿宋" w:eastAsia="仿宋"/>
          <w:sz w:val="30"/>
          <w:szCs w:val="30"/>
          <w:lang w:eastAsia="zh-CN"/>
        </w:rPr>
        <w:t>，，</w:t>
      </w:r>
      <w:r>
        <w:rPr>
          <w:rFonts w:hint="eastAsia" w:ascii="仿宋" w:hAnsi="仿宋" w:eastAsia="仿宋"/>
          <w:sz w:val="30"/>
          <w:szCs w:val="30"/>
          <w:lang w:val="en-US" w:eastAsia="zh-CN"/>
        </w:rPr>
        <w:t>全年购置公务用车0辆</w:t>
      </w:r>
      <w:r>
        <w:rPr>
          <w:rFonts w:hint="eastAsia" w:ascii="仿宋" w:hAnsi="仿宋" w:eastAsia="仿宋"/>
          <w:sz w:val="30"/>
          <w:szCs w:val="30"/>
        </w:rPr>
        <w:t>；公务用车运行维护费支出年初预算数为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w:t>
      </w:r>
      <w:r>
        <w:rPr>
          <w:rFonts w:hint="eastAsia" w:ascii="仿宋" w:hAnsi="仿宋" w:eastAsia="仿宋"/>
          <w:sz w:val="30"/>
          <w:szCs w:val="30"/>
          <w:lang w:eastAsia="zh-CN"/>
        </w:rPr>
        <w:t>2020</w:t>
      </w:r>
      <w:r>
        <w:rPr>
          <w:rFonts w:hint="eastAsia" w:ascii="仿宋" w:hAnsi="仿宋" w:eastAsia="仿宋"/>
          <w:sz w:val="30"/>
          <w:szCs w:val="30"/>
          <w:lang w:val="en-US" w:eastAsia="zh-CN"/>
        </w:rPr>
        <w:t>年无增减变动</w:t>
      </w:r>
      <w:r>
        <w:rPr>
          <w:rFonts w:hint="eastAsia" w:ascii="仿宋" w:hAnsi="仿宋" w:eastAsia="仿宋"/>
          <w:sz w:val="30"/>
          <w:szCs w:val="30"/>
        </w:rPr>
        <w:t>。</w:t>
      </w:r>
      <w:r>
        <w:rPr>
          <w:rFonts w:hint="eastAsia" w:ascii="仿宋" w:hAnsi="仿宋" w:eastAsia="仿宋"/>
          <w:sz w:val="30"/>
          <w:szCs w:val="30"/>
          <w:lang w:val="en-US" w:eastAsia="zh-CN"/>
        </w:rPr>
        <w:t>年末公务用车保有0辆</w:t>
      </w:r>
      <w:r>
        <w:rPr>
          <w:rFonts w:hint="eastAsia" w:ascii="仿宋" w:hAnsi="仿宋" w:eastAsia="仿宋"/>
          <w:sz w:val="30"/>
          <w:szCs w:val="30"/>
        </w:rPr>
        <w:t>。决算数较年初预算数</w:t>
      </w:r>
      <w:r>
        <w:rPr>
          <w:rFonts w:hint="eastAsia" w:ascii="仿宋" w:hAnsi="仿宋" w:eastAsia="仿宋"/>
          <w:sz w:val="30"/>
          <w:szCs w:val="30"/>
          <w:lang w:val="en-US" w:eastAsia="zh-CN"/>
        </w:rPr>
        <w:t>无增减变动</w:t>
      </w:r>
      <w:r>
        <w:rPr>
          <w:rFonts w:hint="eastAsia" w:ascii="仿宋" w:hAnsi="仿宋" w:eastAsia="仿宋"/>
          <w:sz w:val="30"/>
          <w:szCs w:val="30"/>
        </w:rPr>
        <w:t>。</w:t>
      </w:r>
    </w:p>
    <w:p w14:paraId="54EB1F88">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14:paraId="5678D202">
      <w:pPr>
        <w:ind w:firstLine="630"/>
        <w:jc w:val="left"/>
        <w:rPr>
          <w:rFonts w:hint="eastAsia" w:ascii="仿宋" w:hAnsi="仿宋" w:eastAsia="仿宋"/>
          <w:sz w:val="30"/>
          <w:szCs w:val="30"/>
        </w:rPr>
      </w:pPr>
      <w:r>
        <w:rPr>
          <w:rFonts w:hint="eastAsia" w:ascii="仿宋" w:hAnsi="仿宋" w:eastAsia="仿宋"/>
          <w:sz w:val="30"/>
          <w:szCs w:val="30"/>
        </w:rPr>
        <w:t>本</w:t>
      </w:r>
      <w:r>
        <w:rPr>
          <w:rFonts w:hint="eastAsia" w:ascii="仿宋" w:hAnsi="仿宋" w:eastAsia="仿宋"/>
          <w:sz w:val="30"/>
          <w:szCs w:val="30"/>
          <w:lang w:val="en-US" w:eastAsia="zh-CN"/>
        </w:rPr>
        <w:t>单位</w:t>
      </w:r>
      <w:r>
        <w:rPr>
          <w:rFonts w:hint="eastAsia" w:ascii="仿宋" w:hAnsi="仿宋" w:eastAsia="仿宋"/>
          <w:sz w:val="30"/>
          <w:szCs w:val="30"/>
          <w:lang w:eastAsia="zh-CN"/>
        </w:rPr>
        <w:t>2021</w:t>
      </w:r>
      <w:r>
        <w:rPr>
          <w:rFonts w:hint="eastAsia" w:ascii="仿宋" w:hAnsi="仿宋" w:eastAsia="仿宋"/>
          <w:sz w:val="30"/>
          <w:szCs w:val="30"/>
        </w:rPr>
        <w:t>年度机关运行经费支出</w:t>
      </w:r>
      <w:r>
        <w:rPr>
          <w:rFonts w:hint="eastAsia" w:ascii="仿宋" w:hAnsi="仿宋" w:eastAsia="仿宋"/>
          <w:sz w:val="30"/>
          <w:szCs w:val="30"/>
          <w:lang w:val="en-US" w:eastAsia="zh-CN"/>
        </w:rPr>
        <w:t>45.95</w:t>
      </w:r>
      <w:r>
        <w:rPr>
          <w:rFonts w:hint="eastAsia" w:ascii="仿宋" w:hAnsi="仿宋" w:eastAsia="仿宋"/>
          <w:sz w:val="30"/>
          <w:szCs w:val="30"/>
        </w:rPr>
        <w:t>万元（与</w:t>
      </w:r>
      <w:r>
        <w:rPr>
          <w:rFonts w:hint="eastAsia" w:ascii="仿宋" w:hAnsi="仿宋" w:eastAsia="仿宋"/>
          <w:sz w:val="30"/>
          <w:szCs w:val="30"/>
          <w:lang w:val="en-US" w:eastAsia="zh-CN"/>
        </w:rPr>
        <w:t>单位</w:t>
      </w:r>
      <w:r>
        <w:rPr>
          <w:rFonts w:hint="eastAsia" w:ascii="仿宋" w:hAnsi="仿宋" w:eastAsia="仿宋"/>
          <w:sz w:val="30"/>
          <w:szCs w:val="30"/>
        </w:rPr>
        <w:t>决算中行政单位和参照公务员法管理事业单位一般公共预算财政拨款基本支出中公用经费之和一致），较</w:t>
      </w:r>
      <w:r>
        <w:rPr>
          <w:rFonts w:hint="eastAsia" w:ascii="仿宋" w:hAnsi="仿宋" w:eastAsia="仿宋"/>
          <w:sz w:val="30"/>
          <w:szCs w:val="30"/>
          <w:lang w:val="en-US" w:eastAsia="zh-CN"/>
        </w:rPr>
        <w:t>年初预算数</w:t>
      </w:r>
      <w:r>
        <w:rPr>
          <w:rFonts w:hint="eastAsia" w:ascii="仿宋" w:hAnsi="仿宋" w:eastAsia="仿宋"/>
          <w:sz w:val="30"/>
          <w:szCs w:val="30"/>
        </w:rPr>
        <w:t>增加</w:t>
      </w:r>
      <w:r>
        <w:rPr>
          <w:rFonts w:hint="eastAsia" w:ascii="仿宋" w:hAnsi="仿宋" w:eastAsia="仿宋"/>
          <w:sz w:val="30"/>
          <w:szCs w:val="30"/>
          <w:lang w:val="en-US" w:eastAsia="zh-CN"/>
        </w:rPr>
        <w:t>5.73</w:t>
      </w:r>
      <w:r>
        <w:rPr>
          <w:rFonts w:hint="eastAsia" w:ascii="仿宋" w:hAnsi="仿宋" w:eastAsia="仿宋"/>
          <w:sz w:val="30"/>
          <w:szCs w:val="30"/>
        </w:rPr>
        <w:t>万元，主要原因是：</w:t>
      </w:r>
      <w:r>
        <w:rPr>
          <w:rFonts w:hint="eastAsia" w:ascii="仿宋" w:hAnsi="仿宋" w:eastAsia="仿宋"/>
          <w:sz w:val="30"/>
          <w:szCs w:val="30"/>
          <w:lang w:val="en-US" w:eastAsia="zh-CN"/>
        </w:rPr>
        <w:t>办公场所搬迁支出</w:t>
      </w:r>
      <w:r>
        <w:rPr>
          <w:rFonts w:hint="eastAsia" w:ascii="仿宋" w:hAnsi="仿宋" w:eastAsia="仿宋"/>
          <w:sz w:val="30"/>
          <w:szCs w:val="30"/>
        </w:rPr>
        <w:t xml:space="preserve">。 </w:t>
      </w:r>
    </w:p>
    <w:p w14:paraId="35B68E69">
      <w:pPr>
        <w:ind w:firstLine="630"/>
        <w:jc w:val="left"/>
        <w:rPr>
          <w:rFonts w:ascii="黑体" w:hAnsi="黑体" w:eastAsia="黑体"/>
          <w:sz w:val="30"/>
          <w:szCs w:val="30"/>
        </w:rPr>
      </w:pPr>
      <w:r>
        <w:rPr>
          <w:rFonts w:hint="eastAsia" w:ascii="黑体" w:hAnsi="黑体" w:eastAsia="黑体"/>
          <w:sz w:val="30"/>
          <w:szCs w:val="30"/>
        </w:rPr>
        <w:t>七、政府采购支出情况说明</w:t>
      </w:r>
    </w:p>
    <w:p w14:paraId="67D26914">
      <w:pPr>
        <w:pStyle w:val="5"/>
        <w:spacing w:line="600" w:lineRule="atLeast"/>
        <w:ind w:firstLine="600"/>
        <w:rPr>
          <w:rFonts w:hint="eastAsia" w:ascii="仿宋" w:hAnsi="仿宋" w:eastAsia="仿宋"/>
          <w:sz w:val="30"/>
          <w:szCs w:val="30"/>
        </w:rPr>
      </w:pPr>
      <w:r>
        <w:rPr>
          <w:rFonts w:hint="eastAsia" w:ascii="仿宋" w:hAnsi="仿宋" w:eastAsia="仿宋"/>
          <w:sz w:val="30"/>
          <w:szCs w:val="30"/>
        </w:rPr>
        <w:t>本</w:t>
      </w:r>
      <w:r>
        <w:rPr>
          <w:rFonts w:hint="eastAsia" w:ascii="仿宋" w:hAnsi="仿宋" w:eastAsia="仿宋"/>
          <w:sz w:val="30"/>
          <w:szCs w:val="30"/>
          <w:lang w:val="en-US" w:eastAsia="zh-CN"/>
        </w:rPr>
        <w:t>单位</w:t>
      </w:r>
      <w:r>
        <w:rPr>
          <w:rFonts w:hint="eastAsia" w:ascii="仿宋" w:hAnsi="仿宋" w:eastAsia="仿宋"/>
          <w:sz w:val="30"/>
          <w:szCs w:val="30"/>
          <w:lang w:eastAsia="zh-CN"/>
        </w:rPr>
        <w:t>2021</w:t>
      </w:r>
      <w:r>
        <w:rPr>
          <w:rFonts w:hint="eastAsia" w:ascii="仿宋" w:hAnsi="仿宋" w:eastAsia="仿宋"/>
          <w:sz w:val="30"/>
          <w:szCs w:val="30"/>
        </w:rPr>
        <w:t>年度政府采购支出总额</w:t>
      </w:r>
      <w:r>
        <w:rPr>
          <w:rFonts w:hint="eastAsia" w:ascii="仿宋" w:hAnsi="仿宋" w:eastAsia="仿宋"/>
          <w:sz w:val="30"/>
          <w:szCs w:val="30"/>
          <w:lang w:val="en-US" w:eastAsia="zh-CN"/>
        </w:rPr>
        <w:t>2.75</w:t>
      </w:r>
      <w:r>
        <w:rPr>
          <w:rFonts w:hint="eastAsia" w:ascii="仿宋" w:hAnsi="仿宋" w:eastAsia="仿宋"/>
          <w:sz w:val="30"/>
          <w:szCs w:val="30"/>
        </w:rPr>
        <w:t>万元，其中：政府采购货物支出</w:t>
      </w:r>
      <w:r>
        <w:rPr>
          <w:rFonts w:hint="eastAsia" w:ascii="仿宋" w:hAnsi="仿宋" w:eastAsia="仿宋"/>
          <w:sz w:val="30"/>
          <w:szCs w:val="30"/>
          <w:lang w:val="en-US" w:eastAsia="zh-CN"/>
        </w:rPr>
        <w:t>2.75</w:t>
      </w:r>
      <w:r>
        <w:rPr>
          <w:rFonts w:hint="eastAsia" w:ascii="仿宋" w:hAnsi="仿宋" w:eastAsia="仿宋"/>
          <w:sz w:val="30"/>
          <w:szCs w:val="30"/>
        </w:rPr>
        <w:t>万元、政府采购工程支出</w:t>
      </w:r>
      <w:r>
        <w:rPr>
          <w:rFonts w:hint="eastAsia" w:ascii="仿宋" w:hAnsi="仿宋" w:eastAsia="仿宋"/>
          <w:sz w:val="30"/>
          <w:szCs w:val="30"/>
          <w:lang w:val="en-US" w:eastAsia="zh-CN"/>
        </w:rPr>
        <w:t>0</w:t>
      </w:r>
      <w:r>
        <w:rPr>
          <w:rFonts w:hint="eastAsia" w:ascii="仿宋" w:hAnsi="仿宋" w:eastAsia="仿宋"/>
          <w:sz w:val="30"/>
          <w:szCs w:val="30"/>
        </w:rPr>
        <w:t>万元、政府采购服务支出</w:t>
      </w:r>
      <w:r>
        <w:rPr>
          <w:rFonts w:hint="eastAsia" w:ascii="仿宋" w:hAnsi="仿宋" w:eastAsia="仿宋"/>
          <w:sz w:val="30"/>
          <w:szCs w:val="30"/>
          <w:lang w:val="en-US" w:eastAsia="zh-CN"/>
        </w:rPr>
        <w:t>0</w:t>
      </w:r>
      <w:r>
        <w:rPr>
          <w:rFonts w:hint="eastAsia" w:ascii="仿宋" w:hAnsi="仿宋" w:eastAsia="仿宋"/>
          <w:sz w:val="30"/>
          <w:szCs w:val="30"/>
        </w:rPr>
        <w:t>万元。</w:t>
      </w:r>
      <w:r>
        <w:rPr>
          <w:rFonts w:hint="eastAsia" w:ascii="仿宋_GB2312" w:hAnsi="仿宋_GB2312" w:eastAsia="仿宋_GB2312"/>
          <w:sz w:val="30"/>
          <w:szCs w:val="30"/>
        </w:rPr>
        <w:t>授予中小企业合同金额</w:t>
      </w:r>
      <w:r>
        <w:rPr>
          <w:rFonts w:hint="eastAsia" w:ascii="仿宋_GB2312" w:hAnsi="仿宋_GB2312" w:eastAsia="仿宋_GB2312"/>
          <w:sz w:val="30"/>
          <w:szCs w:val="30"/>
          <w:lang w:val="en-US" w:eastAsia="zh-CN"/>
        </w:rPr>
        <w:t>0</w:t>
      </w:r>
      <w:r>
        <w:rPr>
          <w:rFonts w:hint="eastAsia" w:ascii="仿宋_GB2312" w:hAnsi="仿宋_GB2312" w:eastAsia="仿宋_GB2312"/>
          <w:sz w:val="30"/>
          <w:szCs w:val="30"/>
        </w:rPr>
        <w:t>万元，占政府采购支出总额的</w:t>
      </w:r>
      <w:r>
        <w:rPr>
          <w:rFonts w:hint="eastAsia" w:ascii="仿宋_GB2312" w:hAnsi="仿宋_GB2312" w:eastAsia="仿宋_GB2312"/>
          <w:sz w:val="30"/>
          <w:szCs w:val="30"/>
          <w:lang w:val="en-US" w:eastAsia="zh-CN"/>
        </w:rPr>
        <w:t>0</w:t>
      </w:r>
      <w:r>
        <w:rPr>
          <w:rFonts w:hint="eastAsia" w:ascii="仿宋_GB2312" w:hAnsi="仿宋_GB2312" w:eastAsia="仿宋_GB2312"/>
          <w:sz w:val="30"/>
          <w:szCs w:val="30"/>
        </w:rPr>
        <w:t>%，其中：授予小微企业合同金额</w:t>
      </w:r>
      <w:r>
        <w:rPr>
          <w:rFonts w:hint="eastAsia" w:ascii="仿宋_GB2312" w:hAnsi="仿宋_GB2312" w:eastAsia="仿宋_GB2312"/>
          <w:sz w:val="30"/>
          <w:szCs w:val="30"/>
          <w:lang w:val="en-US" w:eastAsia="zh-CN"/>
        </w:rPr>
        <w:t>0</w:t>
      </w:r>
      <w:r>
        <w:rPr>
          <w:rFonts w:hint="eastAsia" w:ascii="仿宋_GB2312" w:hAnsi="仿宋_GB2312" w:eastAsia="仿宋_GB2312"/>
          <w:sz w:val="30"/>
          <w:szCs w:val="30"/>
        </w:rPr>
        <w:t>万元，占政府采购支出总额的</w:t>
      </w:r>
      <w:r>
        <w:rPr>
          <w:rFonts w:hint="eastAsia" w:ascii="仿宋_GB2312" w:hAnsi="仿宋_GB2312" w:eastAsia="仿宋_GB2312"/>
          <w:sz w:val="30"/>
          <w:szCs w:val="30"/>
          <w:lang w:val="en-US" w:eastAsia="zh-CN"/>
        </w:rPr>
        <w:t>0</w:t>
      </w:r>
      <w:r>
        <w:rPr>
          <w:rFonts w:hint="eastAsia" w:ascii="仿宋_GB2312" w:hAnsi="仿宋_GB2312" w:eastAsia="仿宋_GB2312"/>
          <w:sz w:val="30"/>
          <w:szCs w:val="30"/>
        </w:rPr>
        <w:t>%</w:t>
      </w:r>
      <w:r>
        <w:rPr>
          <w:rFonts w:hint="eastAsia" w:ascii="仿宋_GB2312" w:hAnsi="仿宋_GB2312" w:eastAsia="仿宋_GB2312"/>
          <w:sz w:val="30"/>
          <w:szCs w:val="30"/>
          <w:lang w:eastAsia="zh-CN"/>
        </w:rPr>
        <w:t>；</w:t>
      </w:r>
      <w:r>
        <w:rPr>
          <w:rFonts w:hint="eastAsia" w:ascii="仿宋_GB2312" w:hAnsi="仿宋_GB2312" w:eastAsia="仿宋_GB2312"/>
          <w:color w:val="auto"/>
          <w:sz w:val="30"/>
          <w:szCs w:val="30"/>
          <w:lang w:val="en-US" w:eastAsia="zh-CN"/>
        </w:rPr>
        <w:t>货物采购授予中小企业合同金额占货物支出金额的0%，工程采购授予中小企业合同金额占工程支出金额的0%，服务采购授予中小企业合同金额占服务支出金额的0%。</w:t>
      </w:r>
    </w:p>
    <w:p w14:paraId="24496DDA">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14:paraId="0E627C98">
      <w:pPr>
        <w:ind w:firstLine="630"/>
        <w:jc w:val="left"/>
        <w:rPr>
          <w:rFonts w:hint="eastAsia" w:ascii="仿宋" w:hAnsi="仿宋" w:eastAsia="仿宋"/>
          <w:kern w:val="0"/>
          <w:sz w:val="30"/>
          <w:szCs w:val="30"/>
          <w:lang w:val="en-US" w:eastAsia="zh-CN"/>
        </w:rPr>
      </w:pPr>
      <w:r>
        <w:rPr>
          <w:rFonts w:hint="eastAsia" w:ascii="仿宋" w:hAnsi="仿宋" w:eastAsia="仿宋"/>
          <w:kern w:val="0"/>
          <w:sz w:val="30"/>
          <w:szCs w:val="30"/>
        </w:rPr>
        <w:t>截</w:t>
      </w:r>
      <w:r>
        <w:rPr>
          <w:rFonts w:hint="eastAsia" w:ascii="仿宋" w:hAnsi="仿宋" w:eastAsia="仿宋"/>
          <w:kern w:val="0"/>
          <w:sz w:val="30"/>
          <w:szCs w:val="30"/>
          <w:lang w:val="en-US" w:eastAsia="zh-CN"/>
        </w:rPr>
        <w:t>至</w:t>
      </w:r>
      <w:bookmarkStart w:id="0" w:name="_GoBack"/>
      <w:bookmarkEnd w:id="0"/>
      <w:r>
        <w:rPr>
          <w:rFonts w:hint="eastAsia" w:ascii="仿宋" w:hAnsi="仿宋" w:eastAsia="仿宋"/>
          <w:kern w:val="0"/>
          <w:sz w:val="30"/>
          <w:szCs w:val="30"/>
          <w:lang w:eastAsia="zh-CN"/>
        </w:rPr>
        <w:t>2021</w:t>
      </w:r>
      <w:r>
        <w:rPr>
          <w:rFonts w:hint="eastAsia" w:ascii="仿宋" w:hAnsi="仿宋" w:eastAsia="仿宋"/>
          <w:kern w:val="0"/>
          <w:sz w:val="30"/>
          <w:szCs w:val="30"/>
        </w:rPr>
        <w:t>年12月31日，本</w:t>
      </w:r>
      <w:r>
        <w:rPr>
          <w:rFonts w:hint="eastAsia" w:ascii="仿宋" w:hAnsi="仿宋" w:eastAsia="仿宋"/>
          <w:kern w:val="0"/>
          <w:sz w:val="30"/>
          <w:szCs w:val="30"/>
          <w:lang w:val="en-US" w:eastAsia="zh-CN"/>
        </w:rPr>
        <w:t>单位</w:t>
      </w:r>
      <w:r>
        <w:rPr>
          <w:rFonts w:hint="eastAsia" w:ascii="仿宋" w:hAnsi="仿宋" w:eastAsia="仿宋"/>
          <w:kern w:val="0"/>
          <w:sz w:val="30"/>
          <w:szCs w:val="30"/>
        </w:rPr>
        <w:t>国有资产占用情况见</w:t>
      </w:r>
      <w:r>
        <w:rPr>
          <w:rFonts w:hint="eastAsia" w:ascii="仿宋" w:hAnsi="仿宋" w:eastAsia="仿宋"/>
          <w:kern w:val="0"/>
          <w:sz w:val="30"/>
          <w:szCs w:val="30"/>
          <w:lang w:val="en-US" w:eastAsia="zh-CN"/>
        </w:rPr>
        <w:t>公开10</w:t>
      </w:r>
      <w:r>
        <w:rPr>
          <w:rFonts w:hint="eastAsia" w:ascii="仿宋" w:hAnsi="仿宋" w:eastAsia="仿宋"/>
          <w:kern w:val="0"/>
          <w:sz w:val="30"/>
          <w:szCs w:val="30"/>
        </w:rPr>
        <w:t>表《国有资产占用情况表》</w:t>
      </w:r>
      <w:r>
        <w:rPr>
          <w:rFonts w:hint="eastAsia" w:ascii="仿宋" w:hAnsi="仿宋" w:eastAsia="仿宋"/>
          <w:kern w:val="0"/>
          <w:sz w:val="30"/>
          <w:szCs w:val="30"/>
          <w:lang w:val="en-US" w:eastAsia="zh-CN"/>
        </w:rPr>
        <w:t>。本单位共有车辆0辆；单位价值50万元以上通用设备0台（套）；单位价值100万元以上专用设备0台（套）。</w:t>
      </w:r>
    </w:p>
    <w:p w14:paraId="22EB899B">
      <w:pPr>
        <w:ind w:firstLine="630"/>
        <w:jc w:val="left"/>
        <w:rPr>
          <w:rFonts w:hint="eastAsia" w:ascii="黑体" w:hAnsi="黑体" w:eastAsia="黑体"/>
          <w:sz w:val="30"/>
          <w:szCs w:val="30"/>
        </w:rPr>
      </w:pPr>
      <w:r>
        <w:rPr>
          <w:rFonts w:hint="eastAsia" w:ascii="黑体" w:hAnsi="黑体" w:eastAsia="黑体"/>
          <w:sz w:val="30"/>
          <w:szCs w:val="30"/>
        </w:rPr>
        <w:t>九、预算绩效情况说明</w:t>
      </w:r>
    </w:p>
    <w:p w14:paraId="15D31A34">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（一）绩效管理工作开展情况。</w:t>
      </w:r>
    </w:p>
    <w:p w14:paraId="0EC21C41">
      <w:pPr>
        <w:autoSpaceDE w:val="0"/>
        <w:autoSpaceDN w:val="0"/>
        <w:adjustRightInd w:val="0"/>
        <w:spacing w:line="360" w:lineRule="auto"/>
        <w:ind w:firstLine="600" w:firstLineChars="200"/>
        <w:jc w:val="left"/>
        <w:rPr>
          <w:rFonts w:hint="eastAsia" w:ascii="仿宋" w:hAnsi="仿宋" w:eastAsia="仿宋" w:cs="仿宋_GB2312"/>
          <w:kern w:val="0"/>
          <w:sz w:val="30"/>
          <w:szCs w:val="30"/>
        </w:rPr>
      </w:pPr>
      <w:r>
        <w:rPr>
          <w:rFonts w:hint="eastAsia" w:ascii="仿宋" w:hAnsi="仿宋" w:eastAsia="仿宋" w:cs="仿宋_GB2312"/>
          <w:kern w:val="0"/>
          <w:sz w:val="30"/>
          <w:szCs w:val="30"/>
        </w:rPr>
        <w:t>根据预算绩效管理要求，我</w:t>
      </w:r>
      <w:r>
        <w:rPr>
          <w:rFonts w:hint="eastAsia" w:ascii="仿宋" w:hAnsi="仿宋" w:eastAsia="仿宋" w:cs="仿宋_GB2312"/>
          <w:kern w:val="0"/>
          <w:sz w:val="30"/>
          <w:szCs w:val="30"/>
          <w:lang w:val="en-US" w:eastAsia="zh-CN"/>
        </w:rPr>
        <w:t>单位组织对纳入</w:t>
      </w:r>
      <w:r>
        <w:rPr>
          <w:rFonts w:hint="eastAsia" w:ascii="仿宋" w:hAnsi="仿宋" w:eastAsia="仿宋" w:cs="仿宋_GB2312"/>
          <w:kern w:val="0"/>
          <w:sz w:val="30"/>
          <w:szCs w:val="30"/>
          <w:lang w:eastAsia="zh-CN"/>
        </w:rPr>
        <w:t>2021</w:t>
      </w:r>
      <w:r>
        <w:rPr>
          <w:rFonts w:hint="eastAsia" w:ascii="仿宋" w:hAnsi="仿宋" w:eastAsia="仿宋" w:cs="仿宋_GB2312"/>
          <w:kern w:val="0"/>
          <w:sz w:val="30"/>
          <w:szCs w:val="30"/>
        </w:rPr>
        <w:t>年度</w:t>
      </w:r>
      <w:r>
        <w:rPr>
          <w:rFonts w:hint="eastAsia" w:ascii="仿宋" w:hAnsi="仿宋" w:eastAsia="仿宋" w:cs="仿宋_GB2312"/>
          <w:kern w:val="0"/>
          <w:sz w:val="30"/>
          <w:szCs w:val="30"/>
          <w:lang w:val="en-US" w:eastAsia="zh-CN"/>
        </w:rPr>
        <w:t>部门预算范围的二级项目9个</w:t>
      </w:r>
      <w:r>
        <w:rPr>
          <w:rFonts w:hint="eastAsia" w:ascii="仿宋" w:hAnsi="仿宋" w:eastAsia="仿宋" w:cs="仿宋_GB2312"/>
          <w:kern w:val="0"/>
          <w:sz w:val="30"/>
          <w:szCs w:val="30"/>
        </w:rPr>
        <w:t>全面开展绩效自评，共涉及资金</w:t>
      </w:r>
      <w:r>
        <w:rPr>
          <w:rFonts w:hint="eastAsia" w:ascii="仿宋" w:hAnsi="仿宋" w:eastAsia="仿宋" w:cs="仿宋_GB2312"/>
          <w:kern w:val="0"/>
          <w:sz w:val="30"/>
          <w:szCs w:val="30"/>
          <w:lang w:val="en-US" w:eastAsia="zh-CN"/>
        </w:rPr>
        <w:t>587.28</w:t>
      </w:r>
      <w:r>
        <w:rPr>
          <w:rFonts w:hint="eastAsia" w:ascii="仿宋" w:hAnsi="仿宋" w:eastAsia="仿宋" w:cs="仿宋_GB2312"/>
          <w:kern w:val="0"/>
          <w:sz w:val="30"/>
          <w:szCs w:val="30"/>
        </w:rPr>
        <w:t>万元，占项目支出总额的</w:t>
      </w:r>
      <w:r>
        <w:rPr>
          <w:rFonts w:hint="eastAsia" w:ascii="仿宋" w:hAnsi="仿宋" w:eastAsia="仿宋" w:cs="仿宋_GB2312"/>
          <w:kern w:val="0"/>
          <w:sz w:val="30"/>
          <w:szCs w:val="30"/>
          <w:lang w:val="en-US" w:eastAsia="zh-CN"/>
        </w:rPr>
        <w:t>76.5</w:t>
      </w:r>
      <w:r>
        <w:rPr>
          <w:rFonts w:hint="eastAsia" w:ascii="仿宋" w:hAnsi="仿宋" w:eastAsia="仿宋" w:cs="仿宋_GB2312"/>
          <w:kern w:val="0"/>
          <w:sz w:val="30"/>
          <w:szCs w:val="30"/>
        </w:rPr>
        <w:t xml:space="preserve">%。    </w:t>
      </w:r>
    </w:p>
    <w:p w14:paraId="7951BC28">
      <w:pPr>
        <w:autoSpaceDE w:val="0"/>
        <w:autoSpaceDN w:val="0"/>
        <w:adjustRightInd w:val="0"/>
        <w:spacing w:line="360" w:lineRule="auto"/>
        <w:ind w:firstLine="600" w:firstLineChars="200"/>
        <w:jc w:val="left"/>
        <w:rPr>
          <w:rFonts w:hint="eastAsia" w:ascii="仿宋" w:hAnsi="仿宋" w:eastAsia="仿宋" w:cs="仿宋_GB2312"/>
          <w:kern w:val="0"/>
          <w:sz w:val="30"/>
          <w:szCs w:val="30"/>
        </w:rPr>
      </w:pPr>
      <w:r>
        <w:rPr>
          <w:rFonts w:hint="eastAsia" w:ascii="仿宋" w:hAnsi="仿宋" w:eastAsia="仿宋" w:cs="仿宋_GB2312"/>
          <w:kern w:val="0"/>
          <w:sz w:val="30"/>
          <w:szCs w:val="30"/>
        </w:rPr>
        <w:t>（二）</w:t>
      </w:r>
      <w:r>
        <w:rPr>
          <w:rFonts w:hint="eastAsia" w:ascii="仿宋" w:hAnsi="仿宋" w:eastAsia="仿宋" w:cs="仿宋_GB2312"/>
          <w:kern w:val="0"/>
          <w:sz w:val="30"/>
          <w:szCs w:val="30"/>
          <w:lang w:val="en-US" w:eastAsia="zh-CN"/>
        </w:rPr>
        <w:t>单位</w:t>
      </w:r>
      <w:r>
        <w:rPr>
          <w:rFonts w:hint="eastAsia" w:ascii="仿宋" w:hAnsi="仿宋" w:eastAsia="仿宋" w:cs="仿宋_GB2312"/>
          <w:kern w:val="0"/>
          <w:sz w:val="30"/>
          <w:szCs w:val="30"/>
        </w:rPr>
        <w:t>决算中项目绩效自评</w:t>
      </w:r>
      <w:r>
        <w:rPr>
          <w:rFonts w:hint="eastAsia" w:ascii="仿宋" w:hAnsi="仿宋" w:eastAsia="仿宋" w:cs="仿宋_GB2312"/>
          <w:kern w:val="0"/>
          <w:sz w:val="30"/>
          <w:szCs w:val="30"/>
          <w:lang w:val="en-US" w:eastAsia="zh-CN"/>
        </w:rPr>
        <w:t>情况</w:t>
      </w:r>
      <w:r>
        <w:rPr>
          <w:rFonts w:hint="eastAsia" w:ascii="仿宋" w:hAnsi="仿宋" w:eastAsia="仿宋" w:cs="仿宋_GB2312"/>
          <w:kern w:val="0"/>
          <w:sz w:val="30"/>
          <w:szCs w:val="30"/>
        </w:rPr>
        <w:t>。</w:t>
      </w:r>
    </w:p>
    <w:p w14:paraId="459F9824">
      <w:pPr>
        <w:autoSpaceDE w:val="0"/>
        <w:autoSpaceDN w:val="0"/>
        <w:adjustRightInd w:val="0"/>
        <w:spacing w:line="360" w:lineRule="auto"/>
        <w:ind w:firstLine="600" w:firstLineChars="200"/>
        <w:jc w:val="left"/>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随军家属安置经费</w:t>
      </w:r>
      <w:r>
        <w:rPr>
          <w:rFonts w:hint="eastAsia" w:ascii="仿宋" w:hAnsi="仿宋" w:eastAsia="仿宋" w:cs="仿宋_GB2312"/>
          <w:kern w:val="0"/>
          <w:sz w:val="30"/>
          <w:szCs w:val="30"/>
        </w:rPr>
        <w:t>项目绩效自评综述</w:t>
      </w:r>
      <w:r>
        <w:rPr>
          <w:rFonts w:hint="eastAsia" w:ascii="仿宋" w:hAnsi="仿宋" w:eastAsia="仿宋" w:cs="仿宋_GB2312"/>
          <w:kern w:val="0"/>
          <w:sz w:val="30"/>
          <w:szCs w:val="30"/>
          <w:lang w:eastAsia="zh-CN"/>
        </w:rPr>
        <w:t>：</w:t>
      </w:r>
      <w:r>
        <w:rPr>
          <w:rFonts w:hint="eastAsia" w:ascii="仿宋" w:hAnsi="仿宋" w:eastAsia="仿宋" w:cs="仿宋_GB2312"/>
          <w:kern w:val="0"/>
          <w:sz w:val="30"/>
          <w:szCs w:val="30"/>
        </w:rPr>
        <w:t>项目全年预算数为</w:t>
      </w:r>
      <w:r>
        <w:rPr>
          <w:rFonts w:hint="eastAsia" w:ascii="仿宋" w:hAnsi="仿宋" w:eastAsia="仿宋" w:cs="仿宋_GB2312"/>
          <w:kern w:val="0"/>
          <w:sz w:val="30"/>
          <w:szCs w:val="30"/>
          <w:lang w:val="en-US" w:eastAsia="zh-CN"/>
        </w:rPr>
        <w:t>67.73</w:t>
      </w:r>
      <w:r>
        <w:rPr>
          <w:rFonts w:hint="eastAsia" w:ascii="仿宋" w:hAnsi="仿宋" w:eastAsia="仿宋" w:cs="仿宋_GB2312"/>
          <w:kern w:val="0"/>
          <w:sz w:val="30"/>
          <w:szCs w:val="30"/>
        </w:rPr>
        <w:t>万元，执行数为</w:t>
      </w:r>
      <w:r>
        <w:rPr>
          <w:rFonts w:hint="eastAsia" w:ascii="仿宋" w:hAnsi="仿宋" w:eastAsia="仿宋" w:cs="仿宋_GB2312"/>
          <w:kern w:val="0"/>
          <w:sz w:val="30"/>
          <w:szCs w:val="30"/>
          <w:lang w:val="en-US" w:eastAsia="zh-CN"/>
        </w:rPr>
        <w:t>67.73</w:t>
      </w:r>
      <w:r>
        <w:rPr>
          <w:rFonts w:hint="eastAsia" w:ascii="仿宋" w:hAnsi="仿宋" w:eastAsia="仿宋" w:cs="仿宋_GB2312"/>
          <w:kern w:val="0"/>
          <w:sz w:val="30"/>
          <w:szCs w:val="30"/>
        </w:rPr>
        <w:t>万元，完成预算的</w:t>
      </w:r>
      <w:r>
        <w:rPr>
          <w:rFonts w:hint="eastAsia" w:ascii="仿宋" w:hAnsi="仿宋" w:eastAsia="仿宋" w:cs="仿宋_GB2312"/>
          <w:kern w:val="0"/>
          <w:sz w:val="30"/>
          <w:szCs w:val="30"/>
          <w:lang w:val="en-US" w:eastAsia="zh-CN"/>
        </w:rPr>
        <w:t>100</w:t>
      </w:r>
      <w:r>
        <w:rPr>
          <w:rFonts w:hint="eastAsia" w:ascii="仿宋" w:hAnsi="仿宋" w:eastAsia="仿宋" w:cs="仿宋_GB2312"/>
          <w:kern w:val="0"/>
          <w:sz w:val="30"/>
          <w:szCs w:val="30"/>
        </w:rPr>
        <w:t>%。</w:t>
      </w:r>
      <w:r>
        <w:rPr>
          <w:rFonts w:hint="eastAsia" w:ascii="仿宋" w:hAnsi="仿宋" w:eastAsia="仿宋" w:cs="仿宋_GB2312"/>
          <w:kern w:val="0"/>
          <w:sz w:val="30"/>
          <w:szCs w:val="30"/>
          <w:lang w:val="en-US" w:eastAsia="zh-CN"/>
        </w:rPr>
        <w:t>项目绩效目标完成情况是</w:t>
      </w:r>
      <w:r>
        <w:rPr>
          <w:rFonts w:hint="eastAsia" w:ascii="仿宋" w:hAnsi="仿宋" w:eastAsia="仿宋" w:cs="仿宋_GB2312"/>
          <w:kern w:val="0"/>
          <w:sz w:val="30"/>
          <w:szCs w:val="30"/>
        </w:rPr>
        <w:t>：</w:t>
      </w:r>
      <w:r>
        <w:rPr>
          <w:rFonts w:hint="eastAsia" w:ascii="仿宋" w:hAnsi="仿宋" w:eastAsia="仿宋" w:cs="仿宋_GB2312"/>
          <w:kern w:val="0"/>
          <w:sz w:val="30"/>
          <w:szCs w:val="30"/>
          <w:lang w:val="en-US" w:eastAsia="zh-CN"/>
        </w:rPr>
        <w:t>完成发放81名随军家属安置经费</w:t>
      </w:r>
      <w:r>
        <w:rPr>
          <w:rFonts w:hint="eastAsia" w:ascii="仿宋" w:hAnsi="仿宋" w:eastAsia="仿宋" w:cs="仿宋_GB2312"/>
          <w:kern w:val="0"/>
          <w:sz w:val="30"/>
          <w:szCs w:val="30"/>
        </w:rPr>
        <w:t>。发现的问题及原因：</w:t>
      </w:r>
      <w:r>
        <w:rPr>
          <w:rFonts w:hint="eastAsia" w:ascii="仿宋" w:hAnsi="仿宋" w:eastAsia="仿宋" w:cs="仿宋_GB2312"/>
          <w:kern w:val="0"/>
          <w:sz w:val="30"/>
          <w:szCs w:val="30"/>
          <w:lang w:val="en-US" w:eastAsia="zh-CN"/>
        </w:rPr>
        <w:t>无相关问题，完成情况良好。</w:t>
      </w:r>
    </w:p>
    <w:p w14:paraId="40A87F8E">
      <w:pPr>
        <w:pStyle w:val="2"/>
        <w:rPr>
          <w:rFonts w:hint="eastAsia" w:ascii="仿宋" w:hAnsi="仿宋" w:eastAsia="仿宋" w:cs="仿宋_GB2312"/>
          <w:kern w:val="0"/>
          <w:sz w:val="30"/>
          <w:szCs w:val="30"/>
          <w:lang w:val="en-US" w:eastAsia="zh-CN"/>
        </w:rPr>
      </w:pPr>
    </w:p>
    <w:p w14:paraId="776DB3A6">
      <w:pPr>
        <w:pStyle w:val="2"/>
        <w:ind w:firstLine="600" w:firstLineChars="200"/>
        <w:rPr>
          <w:rFonts w:hint="eastAsia" w:ascii="仿宋" w:hAnsi="仿宋" w:eastAsia="仿宋" w:cs="仿宋_GB2312"/>
          <w:kern w:val="0"/>
          <w:sz w:val="30"/>
          <w:szCs w:val="30"/>
          <w:lang w:val="en-US" w:eastAsia="zh-CN"/>
        </w:rPr>
      </w:pPr>
    </w:p>
    <w:p w14:paraId="75FD59DE">
      <w:pPr>
        <w:pStyle w:val="2"/>
        <w:ind w:firstLine="600" w:firstLineChars="200"/>
        <w:rPr>
          <w:rFonts w:hint="default"/>
          <w:lang w:val="en-US"/>
        </w:rPr>
      </w:pPr>
      <w:r>
        <w:rPr>
          <w:rFonts w:hint="eastAsia" w:ascii="仿宋" w:hAnsi="仿宋" w:eastAsia="仿宋" w:cs="仿宋_GB2312"/>
          <w:kern w:val="0"/>
          <w:sz w:val="30"/>
          <w:szCs w:val="30"/>
          <w:lang w:val="en-US" w:eastAsia="zh-CN"/>
        </w:rPr>
        <w:t>附：《项目支出绩效自评表》</w:t>
      </w:r>
    </w:p>
    <w:p w14:paraId="088325AC">
      <w:pPr>
        <w:pStyle w:val="2"/>
        <w:rPr>
          <w:rFonts w:hint="default" w:eastAsia="宋体"/>
          <w:lang w:val="en-US" w:eastAsia="zh-CN"/>
        </w:rPr>
      </w:pPr>
      <w:r>
        <w:rPr>
          <w:rFonts w:hint="eastAsia"/>
          <w:lang w:val="en-US" w:eastAsia="zh-CN"/>
        </w:rPr>
        <w:t xml:space="preserve">         </w:t>
      </w:r>
    </w:p>
    <w:tbl>
      <w:tblPr>
        <w:tblStyle w:val="3"/>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14:paraId="0D3E68B1">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noWrap w:val="0"/>
            <w:vAlign w:val="center"/>
          </w:tcPr>
          <w:p w14:paraId="09EB7341">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14:paraId="75D0F003">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14:paraId="2F6CD1B2">
            <w:pPr>
              <w:widowControl/>
              <w:jc w:val="center"/>
              <w:rPr>
                <w:rFonts w:ascii="宋体" w:hAnsi="宋体" w:eastAsia="宋体" w:cs="宋体"/>
                <w:kern w:val="0"/>
                <w:sz w:val="22"/>
                <w:szCs w:val="22"/>
              </w:rPr>
            </w:pPr>
            <w:r>
              <w:rPr>
                <w:rFonts w:hint="eastAsia" w:ascii="宋体" w:hAnsi="宋体" w:eastAsia="宋体" w:cs="宋体"/>
                <w:kern w:val="0"/>
                <w:sz w:val="22"/>
                <w:szCs w:val="22"/>
              </w:rPr>
              <w:t>（</w:t>
            </w:r>
            <w:r>
              <w:rPr>
                <w:rFonts w:hint="eastAsia" w:ascii="宋体" w:hAnsi="宋体" w:eastAsia="宋体" w:cs="宋体"/>
                <w:kern w:val="0"/>
                <w:sz w:val="22"/>
                <w:szCs w:val="22"/>
                <w:lang w:val="en-US" w:eastAsia="zh-CN"/>
              </w:rPr>
              <w:t>2021</w:t>
            </w:r>
            <w:r>
              <w:rPr>
                <w:rFonts w:hint="eastAsia" w:ascii="宋体" w:hAnsi="宋体" w:eastAsia="宋体" w:cs="宋体"/>
                <w:kern w:val="0"/>
                <w:sz w:val="22"/>
                <w:szCs w:val="22"/>
              </w:rPr>
              <w:t>年度）</w:t>
            </w:r>
          </w:p>
        </w:tc>
      </w:tr>
      <w:tr w14:paraId="066D6EA2">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0979299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14:paraId="0B0941A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随军家属安置经费</w:t>
            </w:r>
          </w:p>
        </w:tc>
      </w:tr>
      <w:tr w14:paraId="7FCEC3AB">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38165C9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14:paraId="021B8FBC">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景德镇市退役军人事务局</w:t>
            </w:r>
          </w:p>
        </w:tc>
        <w:tc>
          <w:tcPr>
            <w:tcW w:w="1134" w:type="dxa"/>
            <w:gridSpan w:val="2"/>
            <w:tcBorders>
              <w:top w:val="nil"/>
              <w:left w:val="nil"/>
              <w:bottom w:val="single" w:color="auto" w:sz="4" w:space="0"/>
              <w:right w:val="single" w:color="auto" w:sz="4" w:space="0"/>
            </w:tcBorders>
            <w:noWrap w:val="0"/>
            <w:vAlign w:val="center"/>
          </w:tcPr>
          <w:p w14:paraId="1B27F85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14:paraId="75AA5C90">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景德镇市退役军人事务局</w:t>
            </w:r>
          </w:p>
        </w:tc>
      </w:tr>
      <w:tr w14:paraId="4E52F435">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4FA8B07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14:paraId="330E8EB0">
            <w:pPr>
              <w:widowControl/>
              <w:spacing w:line="240" w:lineRule="exact"/>
              <w:jc w:val="center"/>
              <w:rPr>
                <w:rFonts w:ascii="宋体" w:hAnsi="宋体" w:eastAsia="宋体" w:cs="宋体"/>
                <w:kern w:val="0"/>
                <w:sz w:val="18"/>
                <w:szCs w:val="18"/>
              </w:rPr>
            </w:pPr>
          </w:p>
        </w:tc>
        <w:tc>
          <w:tcPr>
            <w:tcW w:w="1134" w:type="dxa"/>
            <w:tcBorders>
              <w:top w:val="nil"/>
              <w:left w:val="nil"/>
              <w:bottom w:val="single" w:color="auto" w:sz="4" w:space="0"/>
              <w:right w:val="single" w:color="auto" w:sz="4" w:space="0"/>
            </w:tcBorders>
            <w:noWrap w:val="0"/>
            <w:vAlign w:val="center"/>
          </w:tcPr>
          <w:p w14:paraId="308750C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14:paraId="04D07E5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34" w:type="dxa"/>
            <w:gridSpan w:val="2"/>
            <w:tcBorders>
              <w:top w:val="nil"/>
              <w:left w:val="nil"/>
              <w:bottom w:val="single" w:color="auto" w:sz="4" w:space="0"/>
              <w:right w:val="single" w:color="auto" w:sz="4" w:space="0"/>
            </w:tcBorders>
            <w:noWrap w:val="0"/>
            <w:vAlign w:val="center"/>
          </w:tcPr>
          <w:p w14:paraId="4A334FB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14:paraId="62C8DCA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14:paraId="0A2100C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708" w:type="dxa"/>
            <w:tcBorders>
              <w:top w:val="nil"/>
              <w:left w:val="nil"/>
              <w:bottom w:val="single" w:color="auto" w:sz="4" w:space="0"/>
              <w:right w:val="single" w:color="auto" w:sz="4" w:space="0"/>
            </w:tcBorders>
            <w:noWrap w:val="0"/>
            <w:vAlign w:val="center"/>
          </w:tcPr>
          <w:p w14:paraId="4832C8E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14:paraId="79D78200">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EAF4B1B">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14:paraId="5C4E1C34">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14:paraId="3F5046C5">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67.73</w:t>
            </w:r>
          </w:p>
        </w:tc>
        <w:tc>
          <w:tcPr>
            <w:tcW w:w="1134" w:type="dxa"/>
            <w:gridSpan w:val="2"/>
            <w:tcBorders>
              <w:top w:val="nil"/>
              <w:left w:val="nil"/>
              <w:bottom w:val="single" w:color="auto" w:sz="4" w:space="0"/>
              <w:right w:val="single" w:color="auto" w:sz="4" w:space="0"/>
            </w:tcBorders>
            <w:noWrap w:val="0"/>
            <w:vAlign w:val="center"/>
          </w:tcPr>
          <w:p w14:paraId="717E6530">
            <w:pPr>
              <w:widowControl/>
              <w:spacing w:line="240" w:lineRule="exact"/>
              <w:jc w:val="center"/>
              <w:rPr>
                <w:rFonts w:hint="default" w:ascii="宋体" w:hAnsi="宋体" w:eastAsia="宋体" w:cs="宋体"/>
                <w:kern w:val="0"/>
                <w:sz w:val="18"/>
                <w:szCs w:val="18"/>
                <w:lang w:val="en-US" w:eastAsia="zh-CN"/>
              </w:rPr>
            </w:pPr>
          </w:p>
        </w:tc>
        <w:tc>
          <w:tcPr>
            <w:tcW w:w="1134" w:type="dxa"/>
            <w:gridSpan w:val="2"/>
            <w:tcBorders>
              <w:top w:val="nil"/>
              <w:left w:val="nil"/>
              <w:bottom w:val="single" w:color="auto" w:sz="4" w:space="0"/>
              <w:right w:val="single" w:color="auto" w:sz="4" w:space="0"/>
            </w:tcBorders>
            <w:noWrap w:val="0"/>
            <w:vAlign w:val="center"/>
          </w:tcPr>
          <w:p w14:paraId="3F3F7106">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67.73</w:t>
            </w:r>
          </w:p>
        </w:tc>
        <w:tc>
          <w:tcPr>
            <w:tcW w:w="709" w:type="dxa"/>
            <w:gridSpan w:val="2"/>
            <w:tcBorders>
              <w:top w:val="nil"/>
              <w:left w:val="nil"/>
              <w:bottom w:val="single" w:color="auto" w:sz="4" w:space="0"/>
              <w:right w:val="single" w:color="auto" w:sz="4" w:space="0"/>
            </w:tcBorders>
            <w:noWrap w:val="0"/>
            <w:vAlign w:val="center"/>
          </w:tcPr>
          <w:p w14:paraId="6A9E733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14:paraId="70B97096">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708" w:type="dxa"/>
            <w:tcBorders>
              <w:top w:val="nil"/>
              <w:left w:val="nil"/>
              <w:bottom w:val="single" w:color="auto" w:sz="4" w:space="0"/>
              <w:right w:val="single" w:color="auto" w:sz="4" w:space="0"/>
            </w:tcBorders>
            <w:noWrap w:val="0"/>
            <w:vAlign w:val="center"/>
          </w:tcPr>
          <w:p w14:paraId="6AB6E687">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14:paraId="4F1C28AF">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ED1B527">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14:paraId="51A134E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14:paraId="4C4C956C">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67.73</w:t>
            </w:r>
          </w:p>
        </w:tc>
        <w:tc>
          <w:tcPr>
            <w:tcW w:w="1134" w:type="dxa"/>
            <w:gridSpan w:val="2"/>
            <w:tcBorders>
              <w:top w:val="nil"/>
              <w:left w:val="nil"/>
              <w:bottom w:val="single" w:color="auto" w:sz="4" w:space="0"/>
              <w:right w:val="single" w:color="auto" w:sz="4" w:space="0"/>
            </w:tcBorders>
            <w:noWrap w:val="0"/>
            <w:vAlign w:val="center"/>
          </w:tcPr>
          <w:p w14:paraId="66FA70F0">
            <w:pPr>
              <w:widowControl/>
              <w:spacing w:line="240" w:lineRule="exact"/>
              <w:jc w:val="center"/>
              <w:rPr>
                <w:rFonts w:hint="default" w:ascii="宋体" w:hAnsi="宋体" w:eastAsia="宋体" w:cs="宋体"/>
                <w:kern w:val="0"/>
                <w:sz w:val="18"/>
                <w:szCs w:val="18"/>
                <w:lang w:val="en-US" w:eastAsia="zh-CN"/>
              </w:rPr>
            </w:pPr>
          </w:p>
        </w:tc>
        <w:tc>
          <w:tcPr>
            <w:tcW w:w="1134" w:type="dxa"/>
            <w:gridSpan w:val="2"/>
            <w:tcBorders>
              <w:top w:val="nil"/>
              <w:left w:val="nil"/>
              <w:bottom w:val="single" w:color="auto" w:sz="4" w:space="0"/>
              <w:right w:val="single" w:color="auto" w:sz="4" w:space="0"/>
            </w:tcBorders>
            <w:noWrap w:val="0"/>
            <w:vAlign w:val="center"/>
          </w:tcPr>
          <w:p w14:paraId="4ABEC3DE">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67.73</w:t>
            </w:r>
          </w:p>
        </w:tc>
        <w:tc>
          <w:tcPr>
            <w:tcW w:w="709" w:type="dxa"/>
            <w:gridSpan w:val="2"/>
            <w:tcBorders>
              <w:top w:val="nil"/>
              <w:left w:val="nil"/>
              <w:bottom w:val="single" w:color="auto" w:sz="4" w:space="0"/>
              <w:right w:val="single" w:color="auto" w:sz="4" w:space="0"/>
            </w:tcBorders>
            <w:noWrap w:val="0"/>
            <w:vAlign w:val="center"/>
          </w:tcPr>
          <w:p w14:paraId="6B351EC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14:paraId="4C30F596">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14:paraId="054FE86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32D3CA11">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917099B">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14:paraId="3533205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14:paraId="74ED0D94">
            <w:pPr>
              <w:widowControl/>
              <w:spacing w:line="240" w:lineRule="exact"/>
              <w:jc w:val="center"/>
              <w:rPr>
                <w:rFonts w:ascii="宋体" w:hAnsi="宋体" w:eastAsia="宋体" w:cs="宋体"/>
                <w:kern w:val="0"/>
                <w:sz w:val="18"/>
                <w:szCs w:val="18"/>
              </w:rPr>
            </w:pPr>
          </w:p>
        </w:tc>
        <w:tc>
          <w:tcPr>
            <w:tcW w:w="1134" w:type="dxa"/>
            <w:gridSpan w:val="2"/>
            <w:tcBorders>
              <w:top w:val="nil"/>
              <w:left w:val="nil"/>
              <w:bottom w:val="single" w:color="auto" w:sz="4" w:space="0"/>
              <w:right w:val="single" w:color="auto" w:sz="4" w:space="0"/>
            </w:tcBorders>
            <w:noWrap w:val="0"/>
            <w:vAlign w:val="center"/>
          </w:tcPr>
          <w:p w14:paraId="21BB8D21">
            <w:pPr>
              <w:widowControl/>
              <w:spacing w:line="240" w:lineRule="exact"/>
              <w:jc w:val="center"/>
              <w:rPr>
                <w:rFonts w:ascii="宋体" w:hAnsi="宋体" w:eastAsia="宋体" w:cs="宋体"/>
                <w:kern w:val="0"/>
                <w:sz w:val="18"/>
                <w:szCs w:val="18"/>
              </w:rPr>
            </w:pPr>
          </w:p>
        </w:tc>
        <w:tc>
          <w:tcPr>
            <w:tcW w:w="1134" w:type="dxa"/>
            <w:gridSpan w:val="2"/>
            <w:tcBorders>
              <w:top w:val="nil"/>
              <w:left w:val="nil"/>
              <w:bottom w:val="single" w:color="auto" w:sz="4" w:space="0"/>
              <w:right w:val="single" w:color="auto" w:sz="4" w:space="0"/>
            </w:tcBorders>
            <w:noWrap w:val="0"/>
            <w:vAlign w:val="center"/>
          </w:tcPr>
          <w:p w14:paraId="415283DF">
            <w:pPr>
              <w:widowControl/>
              <w:spacing w:line="240" w:lineRule="exact"/>
              <w:jc w:val="center"/>
              <w:rPr>
                <w:rFonts w:ascii="宋体" w:hAnsi="宋体" w:eastAsia="宋体" w:cs="宋体"/>
                <w:kern w:val="0"/>
                <w:sz w:val="18"/>
                <w:szCs w:val="18"/>
              </w:rPr>
            </w:pPr>
          </w:p>
        </w:tc>
        <w:tc>
          <w:tcPr>
            <w:tcW w:w="709" w:type="dxa"/>
            <w:gridSpan w:val="2"/>
            <w:tcBorders>
              <w:top w:val="nil"/>
              <w:left w:val="nil"/>
              <w:bottom w:val="single" w:color="auto" w:sz="4" w:space="0"/>
              <w:right w:val="single" w:color="auto" w:sz="4" w:space="0"/>
            </w:tcBorders>
            <w:noWrap w:val="0"/>
            <w:vAlign w:val="center"/>
          </w:tcPr>
          <w:p w14:paraId="25ABD4B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14:paraId="478AFF42">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14:paraId="1D55024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0D3D93E8">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4FE52FD">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14:paraId="302C5E5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14:paraId="73E54D9C">
            <w:pPr>
              <w:widowControl/>
              <w:spacing w:line="240" w:lineRule="exact"/>
              <w:jc w:val="center"/>
              <w:rPr>
                <w:rFonts w:ascii="宋体" w:hAnsi="宋体" w:eastAsia="宋体" w:cs="宋体"/>
                <w:kern w:val="0"/>
                <w:sz w:val="18"/>
                <w:szCs w:val="18"/>
              </w:rPr>
            </w:pPr>
          </w:p>
        </w:tc>
        <w:tc>
          <w:tcPr>
            <w:tcW w:w="1134" w:type="dxa"/>
            <w:gridSpan w:val="2"/>
            <w:tcBorders>
              <w:top w:val="nil"/>
              <w:left w:val="nil"/>
              <w:bottom w:val="single" w:color="auto" w:sz="4" w:space="0"/>
              <w:right w:val="single" w:color="auto" w:sz="4" w:space="0"/>
            </w:tcBorders>
            <w:noWrap w:val="0"/>
            <w:vAlign w:val="center"/>
          </w:tcPr>
          <w:p w14:paraId="31255ED2">
            <w:pPr>
              <w:widowControl/>
              <w:spacing w:line="240" w:lineRule="exact"/>
              <w:jc w:val="center"/>
              <w:rPr>
                <w:rFonts w:hint="default" w:ascii="宋体" w:hAnsi="宋体" w:eastAsia="宋体" w:cs="宋体"/>
                <w:kern w:val="0"/>
                <w:sz w:val="18"/>
                <w:szCs w:val="18"/>
                <w:lang w:val="en-US" w:eastAsia="zh-CN"/>
              </w:rPr>
            </w:pPr>
          </w:p>
        </w:tc>
        <w:tc>
          <w:tcPr>
            <w:tcW w:w="1134" w:type="dxa"/>
            <w:gridSpan w:val="2"/>
            <w:tcBorders>
              <w:top w:val="nil"/>
              <w:left w:val="nil"/>
              <w:bottom w:val="single" w:color="auto" w:sz="4" w:space="0"/>
              <w:right w:val="single" w:color="auto" w:sz="4" w:space="0"/>
            </w:tcBorders>
            <w:noWrap w:val="0"/>
            <w:vAlign w:val="center"/>
          </w:tcPr>
          <w:p w14:paraId="05703C35">
            <w:pPr>
              <w:widowControl/>
              <w:spacing w:line="240" w:lineRule="exact"/>
              <w:jc w:val="center"/>
              <w:rPr>
                <w:rFonts w:hint="default" w:ascii="宋体" w:hAnsi="宋体" w:eastAsia="宋体" w:cs="宋体"/>
                <w:kern w:val="0"/>
                <w:sz w:val="18"/>
                <w:szCs w:val="18"/>
                <w:lang w:val="en-US" w:eastAsia="zh-CN"/>
              </w:rPr>
            </w:pPr>
          </w:p>
        </w:tc>
        <w:tc>
          <w:tcPr>
            <w:tcW w:w="709" w:type="dxa"/>
            <w:gridSpan w:val="2"/>
            <w:tcBorders>
              <w:top w:val="nil"/>
              <w:left w:val="nil"/>
              <w:bottom w:val="single" w:color="auto" w:sz="4" w:space="0"/>
              <w:right w:val="single" w:color="auto" w:sz="4" w:space="0"/>
            </w:tcBorders>
            <w:noWrap w:val="0"/>
            <w:vAlign w:val="center"/>
          </w:tcPr>
          <w:p w14:paraId="2685BD7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14:paraId="43FECC62">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14:paraId="4F60B52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562252A9">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14:paraId="77DD0DC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14:paraId="2304F81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14:paraId="576B591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14:paraId="71712042">
        <w:tblPrEx>
          <w:tblCellMar>
            <w:top w:w="0" w:type="dxa"/>
            <w:left w:w="108" w:type="dxa"/>
            <w:bottom w:w="0" w:type="dxa"/>
            <w:right w:w="108" w:type="dxa"/>
          </w:tblCellMar>
        </w:tblPrEx>
        <w:trPr>
          <w:trHeight w:val="1055"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14:paraId="17CCCCE7">
            <w:pPr>
              <w:widowControl/>
              <w:spacing w:line="240" w:lineRule="exact"/>
              <w:jc w:val="center"/>
              <w:rPr>
                <w:rFonts w:ascii="宋体" w:hAnsi="宋体" w:eastAsia="宋体" w:cs="宋体"/>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14:paraId="6CF93D0D">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rPr>
              <w:t>依据景德镇市人民政府、景德镇军分区《关于进一步做好驻市部队随军家属就业安置工作的实施意见》（景府办发[2014]15号）的规定：按全是上年度城镇非私营单位在岗职工平均工资的12%标准发放。</w:t>
            </w:r>
            <w:r>
              <w:rPr>
                <w:rFonts w:hint="eastAsia" w:ascii="宋体" w:hAnsi="宋体" w:eastAsia="宋体" w:cs="宋体"/>
                <w:kern w:val="0"/>
                <w:sz w:val="18"/>
                <w:szCs w:val="18"/>
                <w:lang w:val="en-US" w:eastAsia="zh-CN"/>
              </w:rPr>
              <w:t>该年度符合要求人数共计81人。</w:t>
            </w:r>
          </w:p>
        </w:tc>
        <w:tc>
          <w:tcPr>
            <w:tcW w:w="3402" w:type="dxa"/>
            <w:gridSpan w:val="7"/>
            <w:tcBorders>
              <w:top w:val="single" w:color="auto" w:sz="4" w:space="0"/>
              <w:left w:val="nil"/>
              <w:bottom w:val="single" w:color="auto" w:sz="4" w:space="0"/>
              <w:right w:val="single" w:color="auto" w:sz="4" w:space="0"/>
            </w:tcBorders>
            <w:noWrap w:val="0"/>
            <w:vAlign w:val="center"/>
          </w:tcPr>
          <w:p w14:paraId="788BE7E9">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符合要求人数共计81人，均按要求足额发放。</w:t>
            </w:r>
          </w:p>
        </w:tc>
      </w:tr>
      <w:tr w14:paraId="264F085D">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14:paraId="3778186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80" w:type="dxa"/>
            <w:tcBorders>
              <w:top w:val="nil"/>
              <w:left w:val="nil"/>
              <w:bottom w:val="single" w:color="auto" w:sz="4" w:space="0"/>
              <w:right w:val="single" w:color="auto" w:sz="4" w:space="0"/>
            </w:tcBorders>
            <w:noWrap w:val="0"/>
            <w:vAlign w:val="center"/>
          </w:tcPr>
          <w:p w14:paraId="0204ADE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112" w:type="dxa"/>
            <w:tcBorders>
              <w:top w:val="nil"/>
              <w:left w:val="nil"/>
              <w:bottom w:val="single" w:color="auto" w:sz="4" w:space="0"/>
              <w:right w:val="single" w:color="auto" w:sz="4" w:space="0"/>
            </w:tcBorders>
            <w:noWrap w:val="0"/>
            <w:vAlign w:val="center"/>
          </w:tcPr>
          <w:p w14:paraId="5612C83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14:paraId="489230F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50" w:type="dxa"/>
            <w:tcBorders>
              <w:top w:val="nil"/>
              <w:left w:val="nil"/>
              <w:bottom w:val="single" w:color="auto" w:sz="4" w:space="0"/>
              <w:right w:val="single" w:color="auto" w:sz="4" w:space="0"/>
            </w:tcBorders>
            <w:noWrap w:val="0"/>
            <w:vAlign w:val="center"/>
          </w:tcPr>
          <w:p w14:paraId="7F9C56F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14:paraId="31F2918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51" w:type="dxa"/>
            <w:tcBorders>
              <w:top w:val="nil"/>
              <w:left w:val="nil"/>
              <w:bottom w:val="single" w:color="auto" w:sz="4" w:space="0"/>
              <w:right w:val="single" w:color="auto" w:sz="4" w:space="0"/>
            </w:tcBorders>
            <w:noWrap w:val="0"/>
            <w:vAlign w:val="center"/>
          </w:tcPr>
          <w:p w14:paraId="17D4DFB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14:paraId="69D8C0A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14:paraId="589E0F6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14:paraId="709DEE6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14:paraId="6AE4F88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14:paraId="08973FD3">
        <w:tblPrEx>
          <w:tblCellMar>
            <w:top w:w="0" w:type="dxa"/>
            <w:left w:w="108" w:type="dxa"/>
            <w:bottom w:w="0" w:type="dxa"/>
            <w:right w:w="108" w:type="dxa"/>
          </w:tblCellMar>
        </w:tblPrEx>
        <w:trPr>
          <w:trHeight w:val="504" w:hRule="exact"/>
          <w:jc w:val="center"/>
        </w:trPr>
        <w:tc>
          <w:tcPr>
            <w:tcW w:w="588" w:type="dxa"/>
            <w:vMerge w:val="continue"/>
            <w:tcBorders>
              <w:left w:val="single" w:color="auto" w:sz="4" w:space="0"/>
              <w:right w:val="single" w:color="auto" w:sz="4" w:space="0"/>
            </w:tcBorders>
            <w:noWrap w:val="0"/>
            <w:vAlign w:val="center"/>
          </w:tcPr>
          <w:p w14:paraId="1F811264">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14:paraId="7E021B2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112" w:type="dxa"/>
            <w:tcBorders>
              <w:top w:val="nil"/>
              <w:left w:val="single" w:color="auto" w:sz="4" w:space="0"/>
              <w:bottom w:val="single" w:color="auto" w:sz="4" w:space="0"/>
              <w:right w:val="single" w:color="auto" w:sz="4" w:space="0"/>
            </w:tcBorders>
            <w:noWrap w:val="0"/>
            <w:vAlign w:val="center"/>
          </w:tcPr>
          <w:p w14:paraId="625FFD3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14:paraId="4FD27E99">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指标1：随军家属未就业符合条件人数</w:t>
            </w:r>
          </w:p>
        </w:tc>
        <w:tc>
          <w:tcPr>
            <w:tcW w:w="850" w:type="dxa"/>
            <w:tcBorders>
              <w:top w:val="nil"/>
              <w:left w:val="nil"/>
              <w:bottom w:val="single" w:color="auto" w:sz="4" w:space="0"/>
              <w:right w:val="single" w:color="auto" w:sz="4" w:space="0"/>
            </w:tcBorders>
            <w:noWrap w:val="0"/>
            <w:vAlign w:val="center"/>
          </w:tcPr>
          <w:p w14:paraId="7A603D26">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81人</w:t>
            </w:r>
          </w:p>
        </w:tc>
        <w:tc>
          <w:tcPr>
            <w:tcW w:w="851" w:type="dxa"/>
            <w:tcBorders>
              <w:top w:val="nil"/>
              <w:left w:val="nil"/>
              <w:bottom w:val="single" w:color="auto" w:sz="4" w:space="0"/>
              <w:right w:val="single" w:color="auto" w:sz="4" w:space="0"/>
            </w:tcBorders>
            <w:noWrap w:val="0"/>
            <w:vAlign w:val="center"/>
          </w:tcPr>
          <w:p w14:paraId="19DEC720">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81人</w:t>
            </w:r>
          </w:p>
        </w:tc>
        <w:tc>
          <w:tcPr>
            <w:tcW w:w="567" w:type="dxa"/>
            <w:gridSpan w:val="2"/>
            <w:tcBorders>
              <w:top w:val="nil"/>
              <w:left w:val="nil"/>
              <w:bottom w:val="single" w:color="auto" w:sz="4" w:space="0"/>
              <w:right w:val="single" w:color="auto" w:sz="4" w:space="0"/>
            </w:tcBorders>
            <w:noWrap w:val="0"/>
            <w:vAlign w:val="center"/>
          </w:tcPr>
          <w:p w14:paraId="3CBCD32A">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67" w:type="dxa"/>
            <w:gridSpan w:val="2"/>
            <w:tcBorders>
              <w:top w:val="nil"/>
              <w:left w:val="nil"/>
              <w:bottom w:val="single" w:color="auto" w:sz="4" w:space="0"/>
              <w:right w:val="single" w:color="auto" w:sz="4" w:space="0"/>
            </w:tcBorders>
            <w:noWrap w:val="0"/>
            <w:vAlign w:val="center"/>
          </w:tcPr>
          <w:p w14:paraId="76D69921">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417" w:type="dxa"/>
            <w:gridSpan w:val="2"/>
            <w:tcBorders>
              <w:top w:val="single" w:color="auto" w:sz="4" w:space="0"/>
              <w:left w:val="nil"/>
              <w:bottom w:val="single" w:color="auto" w:sz="4" w:space="0"/>
              <w:right w:val="single" w:color="auto" w:sz="4" w:space="0"/>
            </w:tcBorders>
            <w:noWrap w:val="0"/>
            <w:vAlign w:val="center"/>
          </w:tcPr>
          <w:p w14:paraId="7D1CB6F5">
            <w:pPr>
              <w:widowControl/>
              <w:spacing w:line="240" w:lineRule="exact"/>
              <w:jc w:val="center"/>
              <w:rPr>
                <w:rFonts w:ascii="宋体" w:hAnsi="宋体" w:eastAsia="宋体" w:cs="宋体"/>
                <w:kern w:val="0"/>
                <w:sz w:val="18"/>
                <w:szCs w:val="18"/>
              </w:rPr>
            </w:pPr>
          </w:p>
        </w:tc>
      </w:tr>
      <w:tr w14:paraId="5FE949CE">
        <w:tblPrEx>
          <w:tblCellMar>
            <w:top w:w="0" w:type="dxa"/>
            <w:left w:w="108" w:type="dxa"/>
            <w:bottom w:w="0" w:type="dxa"/>
            <w:right w:w="108" w:type="dxa"/>
          </w:tblCellMar>
        </w:tblPrEx>
        <w:trPr>
          <w:trHeight w:val="510" w:hRule="exact"/>
          <w:jc w:val="center"/>
        </w:trPr>
        <w:tc>
          <w:tcPr>
            <w:tcW w:w="588" w:type="dxa"/>
            <w:vMerge w:val="continue"/>
            <w:tcBorders>
              <w:left w:val="single" w:color="auto" w:sz="4" w:space="0"/>
              <w:right w:val="single" w:color="auto" w:sz="4" w:space="0"/>
            </w:tcBorders>
            <w:noWrap w:val="0"/>
            <w:vAlign w:val="center"/>
          </w:tcPr>
          <w:p w14:paraId="30F1F9AC">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27E720F2">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14:paraId="32FF18C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14:paraId="31758D56">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指标1：随军家属未就业生活补助发放符合标准</w:t>
            </w:r>
          </w:p>
        </w:tc>
        <w:tc>
          <w:tcPr>
            <w:tcW w:w="850" w:type="dxa"/>
            <w:tcBorders>
              <w:top w:val="nil"/>
              <w:left w:val="nil"/>
              <w:bottom w:val="single" w:color="auto" w:sz="4" w:space="0"/>
              <w:right w:val="single" w:color="auto" w:sz="4" w:space="0"/>
            </w:tcBorders>
            <w:noWrap w:val="0"/>
            <w:vAlign w:val="center"/>
          </w:tcPr>
          <w:p w14:paraId="6814424C">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14:paraId="0BC0075F">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43A489AB">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67" w:type="dxa"/>
            <w:gridSpan w:val="2"/>
            <w:tcBorders>
              <w:top w:val="nil"/>
              <w:left w:val="nil"/>
              <w:bottom w:val="single" w:color="auto" w:sz="4" w:space="0"/>
              <w:right w:val="single" w:color="auto" w:sz="4" w:space="0"/>
            </w:tcBorders>
            <w:noWrap w:val="0"/>
            <w:vAlign w:val="center"/>
          </w:tcPr>
          <w:p w14:paraId="06B254DC">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417" w:type="dxa"/>
            <w:gridSpan w:val="2"/>
            <w:tcBorders>
              <w:top w:val="single" w:color="auto" w:sz="4" w:space="0"/>
              <w:left w:val="nil"/>
              <w:bottom w:val="single" w:color="auto" w:sz="4" w:space="0"/>
              <w:right w:val="single" w:color="auto" w:sz="4" w:space="0"/>
            </w:tcBorders>
            <w:noWrap w:val="0"/>
            <w:vAlign w:val="center"/>
          </w:tcPr>
          <w:p w14:paraId="06A4A703">
            <w:pPr>
              <w:widowControl/>
              <w:spacing w:line="240" w:lineRule="exact"/>
              <w:jc w:val="center"/>
              <w:rPr>
                <w:rFonts w:ascii="宋体" w:hAnsi="宋体" w:eastAsia="宋体" w:cs="宋体"/>
                <w:kern w:val="0"/>
                <w:sz w:val="18"/>
                <w:szCs w:val="18"/>
              </w:rPr>
            </w:pPr>
          </w:p>
        </w:tc>
      </w:tr>
      <w:tr w14:paraId="5CA391AB">
        <w:tblPrEx>
          <w:tblCellMar>
            <w:top w:w="0" w:type="dxa"/>
            <w:left w:w="108" w:type="dxa"/>
            <w:bottom w:w="0" w:type="dxa"/>
            <w:right w:w="108" w:type="dxa"/>
          </w:tblCellMar>
        </w:tblPrEx>
        <w:trPr>
          <w:trHeight w:val="570" w:hRule="exact"/>
          <w:jc w:val="center"/>
        </w:trPr>
        <w:tc>
          <w:tcPr>
            <w:tcW w:w="588" w:type="dxa"/>
            <w:vMerge w:val="continue"/>
            <w:tcBorders>
              <w:left w:val="single" w:color="auto" w:sz="4" w:space="0"/>
              <w:right w:val="single" w:color="auto" w:sz="4" w:space="0"/>
            </w:tcBorders>
            <w:noWrap w:val="0"/>
            <w:vAlign w:val="center"/>
          </w:tcPr>
          <w:p w14:paraId="4BB9068F">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7623B392">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14:paraId="740991E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14:paraId="41E6F47A">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指标1：发放随军家属未就业生活补助及时性</w:t>
            </w:r>
          </w:p>
        </w:tc>
        <w:tc>
          <w:tcPr>
            <w:tcW w:w="850" w:type="dxa"/>
            <w:tcBorders>
              <w:top w:val="nil"/>
              <w:left w:val="nil"/>
              <w:bottom w:val="single" w:color="auto" w:sz="4" w:space="0"/>
              <w:right w:val="single" w:color="auto" w:sz="4" w:space="0"/>
            </w:tcBorders>
            <w:noWrap w:val="0"/>
            <w:vAlign w:val="center"/>
          </w:tcPr>
          <w:p w14:paraId="2A192E55">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14:paraId="2748EA64">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07CCF8AD">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67" w:type="dxa"/>
            <w:gridSpan w:val="2"/>
            <w:tcBorders>
              <w:top w:val="nil"/>
              <w:left w:val="nil"/>
              <w:bottom w:val="single" w:color="auto" w:sz="4" w:space="0"/>
              <w:right w:val="single" w:color="auto" w:sz="4" w:space="0"/>
            </w:tcBorders>
            <w:noWrap w:val="0"/>
            <w:vAlign w:val="center"/>
          </w:tcPr>
          <w:p w14:paraId="7B82C5BC">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417" w:type="dxa"/>
            <w:gridSpan w:val="2"/>
            <w:tcBorders>
              <w:top w:val="single" w:color="auto" w:sz="4" w:space="0"/>
              <w:left w:val="nil"/>
              <w:bottom w:val="single" w:color="auto" w:sz="4" w:space="0"/>
              <w:right w:val="single" w:color="auto" w:sz="4" w:space="0"/>
            </w:tcBorders>
            <w:noWrap w:val="0"/>
            <w:vAlign w:val="center"/>
          </w:tcPr>
          <w:p w14:paraId="7F828F91">
            <w:pPr>
              <w:widowControl/>
              <w:spacing w:line="240" w:lineRule="exact"/>
              <w:jc w:val="center"/>
              <w:rPr>
                <w:rFonts w:ascii="宋体" w:hAnsi="宋体" w:eastAsia="宋体" w:cs="宋体"/>
                <w:kern w:val="0"/>
                <w:sz w:val="18"/>
                <w:szCs w:val="18"/>
              </w:rPr>
            </w:pPr>
          </w:p>
        </w:tc>
      </w:tr>
      <w:tr w14:paraId="7F633AFA">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71DE245C">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5D8FDFF3">
            <w:pPr>
              <w:widowControl/>
              <w:spacing w:line="240" w:lineRule="exact"/>
              <w:jc w:val="center"/>
              <w:rPr>
                <w:rFonts w:ascii="宋体" w:hAnsi="宋体" w:eastAsia="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14:paraId="57A8F55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14:paraId="0356EB53">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50" w:type="dxa"/>
            <w:tcBorders>
              <w:top w:val="nil"/>
              <w:left w:val="nil"/>
              <w:bottom w:val="single" w:color="auto" w:sz="4" w:space="0"/>
              <w:right w:val="single" w:color="auto" w:sz="4" w:space="0"/>
            </w:tcBorders>
            <w:noWrap w:val="0"/>
            <w:vAlign w:val="center"/>
          </w:tcPr>
          <w:p w14:paraId="48F2EABA">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14:paraId="206D5F09">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22CC072A">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468B67C3">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14:paraId="3E864E6A">
            <w:pPr>
              <w:widowControl/>
              <w:spacing w:line="240" w:lineRule="exact"/>
              <w:jc w:val="center"/>
              <w:rPr>
                <w:rFonts w:ascii="宋体" w:hAnsi="宋体" w:eastAsia="宋体" w:cs="宋体"/>
                <w:kern w:val="0"/>
                <w:sz w:val="18"/>
                <w:szCs w:val="18"/>
              </w:rPr>
            </w:pPr>
          </w:p>
        </w:tc>
      </w:tr>
      <w:tr w14:paraId="7007B7A1">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035E73CF">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72457D7E">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2576535B">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14:paraId="4E8C8F43">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14:paraId="2F7E43D2">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14:paraId="7A3FE16D">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3E88A121">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1B82D418">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14:paraId="44AEB432">
            <w:pPr>
              <w:widowControl/>
              <w:spacing w:line="240" w:lineRule="exact"/>
              <w:jc w:val="center"/>
              <w:rPr>
                <w:rFonts w:ascii="宋体" w:hAnsi="宋体" w:eastAsia="宋体" w:cs="宋体"/>
                <w:kern w:val="0"/>
                <w:sz w:val="18"/>
                <w:szCs w:val="18"/>
              </w:rPr>
            </w:pPr>
          </w:p>
        </w:tc>
      </w:tr>
      <w:tr w14:paraId="1513672B">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475E8656">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14:paraId="0A49E08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112" w:type="dxa"/>
            <w:vMerge w:val="restart"/>
            <w:tcBorders>
              <w:top w:val="nil"/>
              <w:left w:val="single" w:color="auto" w:sz="4" w:space="0"/>
              <w:bottom w:val="single" w:color="auto" w:sz="4" w:space="0"/>
              <w:right w:val="single" w:color="auto" w:sz="4" w:space="0"/>
            </w:tcBorders>
            <w:noWrap w:val="0"/>
            <w:vAlign w:val="center"/>
          </w:tcPr>
          <w:p w14:paraId="16169EC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14:paraId="7EE1609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14:paraId="58B84ECA">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50" w:type="dxa"/>
            <w:tcBorders>
              <w:top w:val="nil"/>
              <w:left w:val="nil"/>
              <w:bottom w:val="single" w:color="auto" w:sz="4" w:space="0"/>
              <w:right w:val="single" w:color="auto" w:sz="4" w:space="0"/>
            </w:tcBorders>
            <w:noWrap w:val="0"/>
            <w:vAlign w:val="center"/>
          </w:tcPr>
          <w:p w14:paraId="249448D2">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14:paraId="42B34570">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70274DB5">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11632572">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14:paraId="24FD13E2">
            <w:pPr>
              <w:widowControl/>
              <w:spacing w:line="240" w:lineRule="exact"/>
              <w:jc w:val="center"/>
              <w:rPr>
                <w:rFonts w:ascii="宋体" w:hAnsi="宋体" w:eastAsia="宋体" w:cs="宋体"/>
                <w:kern w:val="0"/>
                <w:sz w:val="18"/>
                <w:szCs w:val="18"/>
              </w:rPr>
            </w:pPr>
          </w:p>
        </w:tc>
      </w:tr>
      <w:tr w14:paraId="27504BFF">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6B5AF9C9">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20642F56">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23A904E8">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14:paraId="7B8211CE">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14:paraId="48087BA0">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14:paraId="02D02E29">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46BBA83C">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172070DD">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14:paraId="0FEC5621">
            <w:pPr>
              <w:widowControl/>
              <w:spacing w:line="240" w:lineRule="exact"/>
              <w:jc w:val="center"/>
              <w:rPr>
                <w:rFonts w:ascii="宋体" w:hAnsi="宋体" w:eastAsia="宋体" w:cs="宋体"/>
                <w:kern w:val="0"/>
                <w:sz w:val="18"/>
                <w:szCs w:val="18"/>
              </w:rPr>
            </w:pPr>
          </w:p>
        </w:tc>
      </w:tr>
      <w:tr w14:paraId="40B3CF78">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03276DC0">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5A3DDFE4">
            <w:pPr>
              <w:widowControl/>
              <w:spacing w:line="240" w:lineRule="exact"/>
              <w:jc w:val="center"/>
              <w:rPr>
                <w:rFonts w:ascii="宋体" w:hAnsi="宋体" w:eastAsia="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14:paraId="5599479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14:paraId="4F09E26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14:paraId="02F2BE7D">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50" w:type="dxa"/>
            <w:tcBorders>
              <w:top w:val="nil"/>
              <w:left w:val="nil"/>
              <w:bottom w:val="single" w:color="auto" w:sz="4" w:space="0"/>
              <w:right w:val="single" w:color="auto" w:sz="4" w:space="0"/>
            </w:tcBorders>
            <w:noWrap w:val="0"/>
            <w:vAlign w:val="center"/>
          </w:tcPr>
          <w:p w14:paraId="0BE6ECE2">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14:paraId="78F784F7">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28C964B6">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115E0EF5">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14:paraId="6D4774BA">
            <w:pPr>
              <w:widowControl/>
              <w:spacing w:line="240" w:lineRule="exact"/>
              <w:jc w:val="center"/>
              <w:rPr>
                <w:rFonts w:ascii="宋体" w:hAnsi="宋体" w:eastAsia="宋体" w:cs="宋体"/>
                <w:kern w:val="0"/>
                <w:sz w:val="18"/>
                <w:szCs w:val="18"/>
              </w:rPr>
            </w:pPr>
          </w:p>
        </w:tc>
      </w:tr>
      <w:tr w14:paraId="7D84E118">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1D62A373">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01EA6F10">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2051918E">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14:paraId="2800EA02">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14:paraId="402B033F">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14:paraId="0441BFC3">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33F2F727">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029EA5C2">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14:paraId="1FF5228F">
            <w:pPr>
              <w:widowControl/>
              <w:spacing w:line="240" w:lineRule="exact"/>
              <w:jc w:val="center"/>
              <w:rPr>
                <w:rFonts w:ascii="宋体" w:hAnsi="宋体" w:eastAsia="宋体" w:cs="宋体"/>
                <w:kern w:val="0"/>
                <w:sz w:val="18"/>
                <w:szCs w:val="18"/>
              </w:rPr>
            </w:pPr>
          </w:p>
        </w:tc>
      </w:tr>
      <w:tr w14:paraId="6C06A0B2">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664CF0FA">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6A33D9C4">
            <w:pPr>
              <w:widowControl/>
              <w:spacing w:line="240" w:lineRule="exact"/>
              <w:jc w:val="center"/>
              <w:rPr>
                <w:rFonts w:ascii="宋体" w:hAnsi="宋体" w:eastAsia="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14:paraId="1B0D8EA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14:paraId="623FE29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14:paraId="2005A10A">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50" w:type="dxa"/>
            <w:tcBorders>
              <w:top w:val="nil"/>
              <w:left w:val="nil"/>
              <w:bottom w:val="single" w:color="auto" w:sz="4" w:space="0"/>
              <w:right w:val="single" w:color="auto" w:sz="4" w:space="0"/>
            </w:tcBorders>
            <w:noWrap w:val="0"/>
            <w:vAlign w:val="center"/>
          </w:tcPr>
          <w:p w14:paraId="58594292">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14:paraId="7238CD8F">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0CA4F63E">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7449EAA3">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14:paraId="0762AF9A">
            <w:pPr>
              <w:widowControl/>
              <w:spacing w:line="240" w:lineRule="exact"/>
              <w:jc w:val="center"/>
              <w:rPr>
                <w:rFonts w:ascii="宋体" w:hAnsi="宋体" w:eastAsia="宋体" w:cs="宋体"/>
                <w:kern w:val="0"/>
                <w:sz w:val="18"/>
                <w:szCs w:val="18"/>
              </w:rPr>
            </w:pPr>
          </w:p>
        </w:tc>
      </w:tr>
      <w:tr w14:paraId="01DAFD09">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5A05ECE8">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39CD3946">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1A296F95">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14:paraId="112DD294">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14:paraId="5F418A20">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14:paraId="03E5D1CA">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796917BA">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2DF9AFA2">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14:paraId="60A379AF">
            <w:pPr>
              <w:widowControl/>
              <w:spacing w:line="240" w:lineRule="exact"/>
              <w:jc w:val="center"/>
              <w:rPr>
                <w:rFonts w:ascii="宋体" w:hAnsi="宋体" w:eastAsia="宋体" w:cs="宋体"/>
                <w:kern w:val="0"/>
                <w:sz w:val="18"/>
                <w:szCs w:val="18"/>
              </w:rPr>
            </w:pPr>
          </w:p>
        </w:tc>
      </w:tr>
      <w:tr w14:paraId="4139D0BD">
        <w:tblPrEx>
          <w:tblCellMar>
            <w:top w:w="0" w:type="dxa"/>
            <w:left w:w="108" w:type="dxa"/>
            <w:bottom w:w="0" w:type="dxa"/>
            <w:right w:w="108" w:type="dxa"/>
          </w:tblCellMar>
        </w:tblPrEx>
        <w:trPr>
          <w:trHeight w:val="570" w:hRule="exact"/>
          <w:jc w:val="center"/>
        </w:trPr>
        <w:tc>
          <w:tcPr>
            <w:tcW w:w="588" w:type="dxa"/>
            <w:vMerge w:val="continue"/>
            <w:tcBorders>
              <w:left w:val="single" w:color="auto" w:sz="4" w:space="0"/>
              <w:right w:val="single" w:color="auto" w:sz="4" w:space="0"/>
            </w:tcBorders>
            <w:noWrap w:val="0"/>
            <w:vAlign w:val="center"/>
          </w:tcPr>
          <w:p w14:paraId="779E846C">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56D021DA">
            <w:pPr>
              <w:widowControl/>
              <w:spacing w:line="240" w:lineRule="exact"/>
              <w:jc w:val="center"/>
              <w:rPr>
                <w:rFonts w:ascii="宋体" w:hAnsi="宋体" w:eastAsia="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14:paraId="458BE68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14:paraId="1F7FC744">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指标1：随军家属安置经费保障率</w:t>
            </w:r>
          </w:p>
        </w:tc>
        <w:tc>
          <w:tcPr>
            <w:tcW w:w="850" w:type="dxa"/>
            <w:tcBorders>
              <w:top w:val="nil"/>
              <w:left w:val="nil"/>
              <w:bottom w:val="single" w:color="auto" w:sz="4" w:space="0"/>
              <w:right w:val="single" w:color="auto" w:sz="4" w:space="0"/>
            </w:tcBorders>
            <w:noWrap w:val="0"/>
            <w:vAlign w:val="center"/>
          </w:tcPr>
          <w:p w14:paraId="0591CA33">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14:paraId="4ED4162E">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356BB330">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20</w:t>
            </w:r>
          </w:p>
        </w:tc>
        <w:tc>
          <w:tcPr>
            <w:tcW w:w="567" w:type="dxa"/>
            <w:gridSpan w:val="2"/>
            <w:tcBorders>
              <w:top w:val="nil"/>
              <w:left w:val="nil"/>
              <w:bottom w:val="single" w:color="auto" w:sz="4" w:space="0"/>
              <w:right w:val="single" w:color="auto" w:sz="4" w:space="0"/>
            </w:tcBorders>
            <w:noWrap w:val="0"/>
            <w:vAlign w:val="center"/>
          </w:tcPr>
          <w:p w14:paraId="63FB125E">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20</w:t>
            </w:r>
          </w:p>
        </w:tc>
        <w:tc>
          <w:tcPr>
            <w:tcW w:w="1417" w:type="dxa"/>
            <w:gridSpan w:val="2"/>
            <w:tcBorders>
              <w:top w:val="single" w:color="auto" w:sz="4" w:space="0"/>
              <w:left w:val="nil"/>
              <w:bottom w:val="single" w:color="auto" w:sz="4" w:space="0"/>
              <w:right w:val="single" w:color="auto" w:sz="4" w:space="0"/>
            </w:tcBorders>
            <w:noWrap w:val="0"/>
            <w:vAlign w:val="center"/>
          </w:tcPr>
          <w:p w14:paraId="18519824">
            <w:pPr>
              <w:widowControl/>
              <w:spacing w:line="240" w:lineRule="exact"/>
              <w:jc w:val="center"/>
              <w:rPr>
                <w:rFonts w:ascii="宋体" w:hAnsi="宋体" w:eastAsia="宋体" w:cs="宋体"/>
                <w:kern w:val="0"/>
                <w:sz w:val="18"/>
                <w:szCs w:val="18"/>
              </w:rPr>
            </w:pPr>
          </w:p>
        </w:tc>
      </w:tr>
      <w:tr w14:paraId="066B39D5">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14:paraId="36FF6363">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05B79E2E">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4590BCAA">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14:paraId="08456F32">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50" w:type="dxa"/>
            <w:tcBorders>
              <w:top w:val="nil"/>
              <w:left w:val="nil"/>
              <w:bottom w:val="single" w:color="auto" w:sz="4" w:space="0"/>
              <w:right w:val="single" w:color="auto" w:sz="4" w:space="0"/>
            </w:tcBorders>
            <w:noWrap w:val="0"/>
            <w:vAlign w:val="center"/>
          </w:tcPr>
          <w:p w14:paraId="33B60B12">
            <w:pPr>
              <w:widowControl/>
              <w:spacing w:line="240" w:lineRule="exact"/>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14:paraId="6931936F">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157B0396">
            <w:pPr>
              <w:widowControl/>
              <w:spacing w:line="240" w:lineRule="exact"/>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14:paraId="45B29C2C">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14:paraId="669C4FC6">
            <w:pPr>
              <w:widowControl/>
              <w:spacing w:line="240" w:lineRule="exact"/>
              <w:jc w:val="center"/>
              <w:rPr>
                <w:rFonts w:ascii="宋体" w:hAnsi="宋体" w:eastAsia="宋体" w:cs="宋体"/>
                <w:kern w:val="0"/>
                <w:sz w:val="18"/>
                <w:szCs w:val="18"/>
              </w:rPr>
            </w:pPr>
          </w:p>
        </w:tc>
      </w:tr>
      <w:tr w14:paraId="33D4E3E8">
        <w:tblPrEx>
          <w:tblCellMar>
            <w:top w:w="0" w:type="dxa"/>
            <w:left w:w="108" w:type="dxa"/>
            <w:bottom w:w="0" w:type="dxa"/>
            <w:right w:w="108" w:type="dxa"/>
          </w:tblCellMar>
        </w:tblPrEx>
        <w:trPr>
          <w:trHeight w:val="705" w:hRule="exact"/>
          <w:jc w:val="center"/>
        </w:trPr>
        <w:tc>
          <w:tcPr>
            <w:tcW w:w="588" w:type="dxa"/>
            <w:vMerge w:val="continue"/>
            <w:tcBorders>
              <w:left w:val="single" w:color="auto" w:sz="4" w:space="0"/>
              <w:right w:val="single" w:color="auto" w:sz="4" w:space="0"/>
            </w:tcBorders>
            <w:noWrap w:val="0"/>
            <w:vAlign w:val="center"/>
          </w:tcPr>
          <w:p w14:paraId="23078CCF">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right w:val="single" w:color="auto" w:sz="4" w:space="0"/>
            </w:tcBorders>
            <w:noWrap w:val="0"/>
            <w:vAlign w:val="center"/>
          </w:tcPr>
          <w:p w14:paraId="05F41D9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14:paraId="19D0032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112" w:type="dxa"/>
            <w:vMerge w:val="restart"/>
            <w:tcBorders>
              <w:top w:val="nil"/>
              <w:left w:val="single" w:color="auto" w:sz="4" w:space="0"/>
              <w:bottom w:val="single" w:color="auto" w:sz="4" w:space="0"/>
              <w:right w:val="single" w:color="auto" w:sz="4" w:space="0"/>
            </w:tcBorders>
            <w:noWrap w:val="0"/>
            <w:vAlign w:val="center"/>
          </w:tcPr>
          <w:p w14:paraId="4C42265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14:paraId="425D633D">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指标1：符合发放条件军属满意度</w:t>
            </w:r>
          </w:p>
        </w:tc>
        <w:tc>
          <w:tcPr>
            <w:tcW w:w="850" w:type="dxa"/>
            <w:tcBorders>
              <w:top w:val="nil"/>
              <w:left w:val="nil"/>
              <w:bottom w:val="single" w:color="auto" w:sz="4" w:space="0"/>
              <w:right w:val="single" w:color="auto" w:sz="4" w:space="0"/>
            </w:tcBorders>
            <w:noWrap w:val="0"/>
            <w:vAlign w:val="center"/>
          </w:tcPr>
          <w:p w14:paraId="3B7BD340">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w:t>
            </w:r>
          </w:p>
        </w:tc>
        <w:tc>
          <w:tcPr>
            <w:tcW w:w="851" w:type="dxa"/>
            <w:tcBorders>
              <w:top w:val="nil"/>
              <w:left w:val="nil"/>
              <w:bottom w:val="single" w:color="auto" w:sz="4" w:space="0"/>
              <w:right w:val="single" w:color="auto" w:sz="4" w:space="0"/>
            </w:tcBorders>
            <w:noWrap w:val="0"/>
            <w:vAlign w:val="center"/>
          </w:tcPr>
          <w:p w14:paraId="05F1F0A9">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6189995A">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3508C488">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4FDD0532">
            <w:pPr>
              <w:widowControl/>
              <w:spacing w:line="240" w:lineRule="exact"/>
              <w:jc w:val="center"/>
              <w:rPr>
                <w:rFonts w:ascii="宋体" w:hAnsi="宋体" w:eastAsia="宋体" w:cs="宋体"/>
                <w:kern w:val="0"/>
                <w:sz w:val="18"/>
                <w:szCs w:val="18"/>
              </w:rPr>
            </w:pPr>
          </w:p>
        </w:tc>
      </w:tr>
      <w:tr w14:paraId="55B6691D">
        <w:tblPrEx>
          <w:tblCellMar>
            <w:top w:w="0" w:type="dxa"/>
            <w:left w:w="108" w:type="dxa"/>
            <w:bottom w:w="0" w:type="dxa"/>
            <w:right w:w="108" w:type="dxa"/>
          </w:tblCellMar>
        </w:tblPrEx>
        <w:trPr>
          <w:trHeight w:val="510" w:hRule="exact"/>
          <w:jc w:val="center"/>
        </w:trPr>
        <w:tc>
          <w:tcPr>
            <w:tcW w:w="588" w:type="dxa"/>
            <w:vMerge w:val="continue"/>
            <w:tcBorders>
              <w:left w:val="single" w:color="auto" w:sz="4" w:space="0"/>
              <w:right w:val="single" w:color="auto" w:sz="4" w:space="0"/>
            </w:tcBorders>
            <w:noWrap w:val="0"/>
            <w:vAlign w:val="center"/>
          </w:tcPr>
          <w:p w14:paraId="061D6A0F">
            <w:pPr>
              <w:widowControl/>
              <w:spacing w:line="240" w:lineRule="exact"/>
              <w:jc w:val="center"/>
              <w:rPr>
                <w:rFonts w:ascii="宋体" w:hAnsi="宋体" w:eastAsia="宋体" w:cs="宋体"/>
                <w:kern w:val="0"/>
                <w:sz w:val="18"/>
                <w:szCs w:val="18"/>
              </w:rPr>
            </w:pPr>
          </w:p>
        </w:tc>
        <w:tc>
          <w:tcPr>
            <w:tcW w:w="980" w:type="dxa"/>
            <w:vMerge w:val="continue"/>
            <w:tcBorders>
              <w:left w:val="single" w:color="auto" w:sz="4" w:space="0"/>
              <w:right w:val="single" w:color="auto" w:sz="4" w:space="0"/>
            </w:tcBorders>
            <w:noWrap w:val="0"/>
            <w:vAlign w:val="center"/>
          </w:tcPr>
          <w:p w14:paraId="06DAF00A">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2816C647">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14:paraId="36F5D8E3">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指标2：符合发放条件军人满意度</w:t>
            </w:r>
          </w:p>
        </w:tc>
        <w:tc>
          <w:tcPr>
            <w:tcW w:w="850" w:type="dxa"/>
            <w:tcBorders>
              <w:top w:val="nil"/>
              <w:left w:val="nil"/>
              <w:bottom w:val="single" w:color="auto" w:sz="4" w:space="0"/>
              <w:right w:val="single" w:color="auto" w:sz="4" w:space="0"/>
            </w:tcBorders>
            <w:noWrap w:val="0"/>
            <w:vAlign w:val="center"/>
          </w:tcPr>
          <w:p w14:paraId="022A2F68">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w:t>
            </w:r>
          </w:p>
        </w:tc>
        <w:tc>
          <w:tcPr>
            <w:tcW w:w="851" w:type="dxa"/>
            <w:tcBorders>
              <w:top w:val="nil"/>
              <w:left w:val="nil"/>
              <w:bottom w:val="single" w:color="auto" w:sz="4" w:space="0"/>
              <w:right w:val="single" w:color="auto" w:sz="4" w:space="0"/>
            </w:tcBorders>
            <w:noWrap w:val="0"/>
            <w:vAlign w:val="center"/>
          </w:tcPr>
          <w:p w14:paraId="0BEE9CD2">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00%</w:t>
            </w:r>
          </w:p>
        </w:tc>
        <w:tc>
          <w:tcPr>
            <w:tcW w:w="567" w:type="dxa"/>
            <w:gridSpan w:val="2"/>
            <w:tcBorders>
              <w:top w:val="nil"/>
              <w:left w:val="nil"/>
              <w:bottom w:val="single" w:color="auto" w:sz="4" w:space="0"/>
              <w:right w:val="single" w:color="auto" w:sz="4" w:space="0"/>
            </w:tcBorders>
            <w:noWrap w:val="0"/>
            <w:vAlign w:val="center"/>
          </w:tcPr>
          <w:p w14:paraId="1E136F57">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7A268FCB">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524CC6B5">
            <w:pPr>
              <w:widowControl/>
              <w:spacing w:line="240" w:lineRule="exact"/>
              <w:jc w:val="center"/>
              <w:rPr>
                <w:rFonts w:ascii="宋体" w:hAnsi="宋体" w:eastAsia="宋体" w:cs="宋体"/>
                <w:kern w:val="0"/>
                <w:sz w:val="18"/>
                <w:szCs w:val="18"/>
              </w:rPr>
            </w:pPr>
          </w:p>
        </w:tc>
      </w:tr>
      <w:tr w14:paraId="1B447C00">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14:paraId="35E7065B">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14:paraId="3744E973">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14:paraId="259AD9D0">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417" w:type="dxa"/>
            <w:gridSpan w:val="2"/>
            <w:tcBorders>
              <w:top w:val="single" w:color="auto" w:sz="4" w:space="0"/>
              <w:left w:val="nil"/>
              <w:bottom w:val="single" w:color="auto" w:sz="4" w:space="0"/>
              <w:right w:val="single" w:color="auto" w:sz="4" w:space="0"/>
            </w:tcBorders>
            <w:noWrap w:val="0"/>
            <w:vAlign w:val="center"/>
          </w:tcPr>
          <w:p w14:paraId="61D2E8ED">
            <w:pPr>
              <w:widowControl/>
              <w:spacing w:line="240" w:lineRule="exact"/>
              <w:jc w:val="center"/>
              <w:rPr>
                <w:rFonts w:ascii="宋体" w:hAnsi="宋体" w:eastAsia="宋体" w:cs="宋体"/>
                <w:kern w:val="0"/>
                <w:sz w:val="18"/>
                <w:szCs w:val="18"/>
              </w:rPr>
            </w:pPr>
          </w:p>
        </w:tc>
      </w:tr>
    </w:tbl>
    <w:p w14:paraId="0E178FC4">
      <w:pPr>
        <w:autoSpaceDE w:val="0"/>
        <w:autoSpaceDN w:val="0"/>
        <w:adjustRightInd w:val="0"/>
        <w:spacing w:line="360" w:lineRule="auto"/>
        <w:jc w:val="center"/>
        <w:rPr>
          <w:rFonts w:hint="eastAsia" w:ascii="仿宋" w:hAnsi="仿宋" w:eastAsia="仿宋" w:cs="仿宋_GB2312"/>
          <w:b/>
          <w:bCs/>
          <w:kern w:val="0"/>
          <w:sz w:val="30"/>
          <w:szCs w:val="30"/>
          <w:lang w:val="en-US" w:eastAsia="zh-CN"/>
        </w:rPr>
      </w:pPr>
    </w:p>
    <w:p w14:paraId="22189220">
      <w:pPr>
        <w:autoSpaceDE w:val="0"/>
        <w:autoSpaceDN w:val="0"/>
        <w:adjustRightInd w:val="0"/>
        <w:spacing w:line="360" w:lineRule="auto"/>
        <w:jc w:val="center"/>
        <w:rPr>
          <w:rFonts w:hint="eastAsia" w:ascii="仿宋" w:hAnsi="仿宋" w:eastAsia="仿宋" w:cs="仿宋_GB2312"/>
          <w:b/>
          <w:bCs/>
          <w:kern w:val="0"/>
          <w:sz w:val="30"/>
          <w:szCs w:val="30"/>
          <w:lang w:val="en-US" w:eastAsia="zh-CN"/>
        </w:rPr>
      </w:pPr>
    </w:p>
    <w:p w14:paraId="1C81A620">
      <w:pPr>
        <w:autoSpaceDE w:val="0"/>
        <w:autoSpaceDN w:val="0"/>
        <w:adjustRightInd w:val="0"/>
        <w:spacing w:line="360" w:lineRule="auto"/>
        <w:jc w:val="center"/>
        <w:rPr>
          <w:rFonts w:hint="eastAsia" w:ascii="仿宋" w:hAnsi="仿宋" w:eastAsia="仿宋" w:cs="仿宋_GB2312"/>
          <w:b/>
          <w:bCs/>
          <w:kern w:val="0"/>
          <w:sz w:val="30"/>
          <w:szCs w:val="30"/>
          <w:lang w:val="en-US" w:eastAsia="zh-CN"/>
        </w:rPr>
      </w:pPr>
    </w:p>
    <w:p w14:paraId="0E48E825">
      <w:pPr>
        <w:autoSpaceDE w:val="0"/>
        <w:autoSpaceDN w:val="0"/>
        <w:adjustRightInd w:val="0"/>
        <w:spacing w:line="360" w:lineRule="auto"/>
        <w:jc w:val="center"/>
        <w:rPr>
          <w:rFonts w:hint="eastAsia" w:ascii="仿宋" w:hAnsi="仿宋" w:eastAsia="仿宋" w:cs="仿宋_GB2312"/>
          <w:b/>
          <w:bCs/>
          <w:kern w:val="0"/>
          <w:sz w:val="30"/>
          <w:szCs w:val="30"/>
          <w:lang w:val="en-US" w:eastAsia="zh-CN"/>
        </w:rPr>
      </w:pPr>
      <w:r>
        <w:rPr>
          <w:rFonts w:hint="eastAsia" w:ascii="仿宋" w:hAnsi="仿宋" w:eastAsia="仿宋" w:cs="仿宋_GB2312"/>
          <w:b/>
          <w:bCs/>
          <w:kern w:val="0"/>
          <w:sz w:val="30"/>
          <w:szCs w:val="30"/>
          <w:lang w:val="en-US" w:eastAsia="zh-CN"/>
        </w:rPr>
        <w:t>随军家属安置经费项目支出绩效评价报告</w:t>
      </w:r>
    </w:p>
    <w:p w14:paraId="644947A6">
      <w:pPr>
        <w:pStyle w:val="2"/>
        <w:rPr>
          <w:rFonts w:hint="eastAsia"/>
          <w:lang w:val="en-US" w:eastAsia="zh-CN"/>
        </w:rPr>
      </w:pPr>
    </w:p>
    <w:p w14:paraId="6AF50688">
      <w:pPr>
        <w:pStyle w:val="2"/>
        <w:numPr>
          <w:ilvl w:val="0"/>
          <w:numId w:val="3"/>
        </w:numPr>
        <w:ind w:firstLine="602" w:firstLineChars="200"/>
        <w:jc w:val="both"/>
        <w:rPr>
          <w:rFonts w:hint="eastAsia" w:ascii="仿宋" w:hAnsi="仿宋" w:eastAsia="仿宋" w:cs="仿宋_GB2312"/>
          <w:b/>
          <w:bCs/>
          <w:kern w:val="0"/>
          <w:sz w:val="30"/>
          <w:szCs w:val="30"/>
          <w:lang w:val="en-US" w:eastAsia="zh-CN"/>
        </w:rPr>
      </w:pPr>
      <w:r>
        <w:rPr>
          <w:rFonts w:hint="eastAsia" w:ascii="仿宋" w:hAnsi="仿宋" w:eastAsia="仿宋" w:cs="仿宋_GB2312"/>
          <w:b/>
          <w:bCs/>
          <w:kern w:val="0"/>
          <w:sz w:val="30"/>
          <w:szCs w:val="30"/>
          <w:lang w:val="en-US" w:eastAsia="zh-CN"/>
        </w:rPr>
        <w:t>项目基本情况</w:t>
      </w:r>
    </w:p>
    <w:p w14:paraId="5902B169">
      <w:pPr>
        <w:numPr>
          <w:ilvl w:val="0"/>
          <w:numId w:val="4"/>
        </w:numPr>
        <w:ind w:firstLine="540" w:firstLineChars="180"/>
        <w:jc w:val="both"/>
        <w:rPr>
          <w:rFonts w:hint="default"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项目背景</w:t>
      </w:r>
    </w:p>
    <w:p w14:paraId="7E9BA7A4">
      <w:pPr>
        <w:numPr>
          <w:ilvl w:val="0"/>
          <w:numId w:val="0"/>
        </w:numPr>
        <w:ind w:firstLine="600" w:firstLineChars="200"/>
        <w:jc w:val="both"/>
        <w:rPr>
          <w:rFonts w:hint="eastAsia" w:ascii="仿宋_GB2312" w:hAnsi="仿宋" w:eastAsia="仿宋_GB2312"/>
          <w:sz w:val="30"/>
          <w:szCs w:val="30"/>
        </w:rPr>
      </w:pPr>
      <w:r>
        <w:rPr>
          <w:rFonts w:hint="eastAsia" w:ascii="仿宋_GB2312" w:hAnsi="仿宋" w:eastAsia="仿宋_GB2312"/>
          <w:sz w:val="30"/>
          <w:szCs w:val="30"/>
        </w:rPr>
        <w:t>该项目依据景德镇市人民政府、景德镇军分区《关于进一步做好驻市部队随军家属就业安置工作的实施意见》（景府办发[2014]15号）的规定：按全是上年度城镇非私营单位在岗职工平均工资的12%标准发放。</w:t>
      </w:r>
    </w:p>
    <w:p w14:paraId="23962C21">
      <w:pPr>
        <w:numPr>
          <w:ilvl w:val="0"/>
          <w:numId w:val="4"/>
        </w:numPr>
        <w:ind w:left="0" w:leftChars="0" w:firstLine="540" w:firstLineChars="180"/>
        <w:jc w:val="both"/>
        <w:rPr>
          <w:rFonts w:hint="eastAsia" w:ascii="仿宋_GB2312" w:hAnsi="仿宋" w:eastAsia="仿宋_GB2312"/>
          <w:sz w:val="30"/>
          <w:szCs w:val="30"/>
          <w:lang w:val="en-US" w:eastAsia="zh-CN"/>
        </w:rPr>
      </w:pPr>
      <w:r>
        <w:rPr>
          <w:rFonts w:hint="eastAsia" w:ascii="仿宋_GB2312" w:hAnsi="仿宋" w:eastAsia="仿宋_GB2312"/>
          <w:sz w:val="30"/>
          <w:szCs w:val="30"/>
          <w:lang w:val="en-US" w:eastAsia="zh-CN"/>
        </w:rPr>
        <w:t>项目目标</w:t>
      </w:r>
    </w:p>
    <w:p w14:paraId="3A24B89D">
      <w:pPr>
        <w:numPr>
          <w:ilvl w:val="0"/>
          <w:numId w:val="0"/>
        </w:numPr>
        <w:ind w:firstLine="600" w:firstLineChars="200"/>
        <w:jc w:val="both"/>
        <w:rPr>
          <w:rFonts w:hint="eastAsia" w:ascii="仿宋_GB2312" w:hAnsi="仿宋" w:eastAsia="仿宋_GB2312"/>
          <w:sz w:val="30"/>
          <w:szCs w:val="30"/>
          <w:lang w:val="en-US" w:eastAsia="zh-CN"/>
        </w:rPr>
      </w:pPr>
      <w:r>
        <w:rPr>
          <w:rFonts w:hint="eastAsia" w:ascii="仿宋_GB2312" w:hAnsi="仿宋" w:eastAsia="仿宋_GB2312"/>
          <w:sz w:val="30"/>
          <w:szCs w:val="30"/>
          <w:lang w:val="en-US" w:eastAsia="zh-CN"/>
        </w:rPr>
        <w:t>根据前期军分区政治工作处、市双拥办、人社局三家审定的驻市部队随军家属未就业符合条件有81人，按标准折合每人每月450元，全年发放67.73万元整。</w:t>
      </w:r>
    </w:p>
    <w:p w14:paraId="18C6152F">
      <w:pPr>
        <w:pStyle w:val="2"/>
        <w:numPr>
          <w:ilvl w:val="0"/>
          <w:numId w:val="4"/>
        </w:numPr>
        <w:ind w:left="0" w:leftChars="0" w:firstLine="540" w:firstLineChars="180"/>
        <w:rPr>
          <w:rFonts w:hint="default" w:ascii="仿宋_GB2312" w:hAnsi="仿宋" w:eastAsia="仿宋_GB2312"/>
          <w:sz w:val="30"/>
          <w:szCs w:val="30"/>
          <w:lang w:val="en-US" w:eastAsia="zh-CN"/>
        </w:rPr>
      </w:pPr>
      <w:r>
        <w:rPr>
          <w:rFonts w:hint="eastAsia" w:ascii="仿宋_GB2312" w:hAnsi="仿宋" w:eastAsia="仿宋_GB2312"/>
          <w:sz w:val="30"/>
          <w:szCs w:val="30"/>
          <w:lang w:val="en-US" w:eastAsia="zh-CN"/>
        </w:rPr>
        <w:t>支出情况</w:t>
      </w:r>
    </w:p>
    <w:p w14:paraId="422EF8B3">
      <w:pPr>
        <w:pStyle w:val="2"/>
        <w:numPr>
          <w:ilvl w:val="0"/>
          <w:numId w:val="0"/>
        </w:numPr>
        <w:ind w:firstLine="600" w:firstLineChars="200"/>
        <w:rPr>
          <w:rFonts w:hint="default" w:ascii="仿宋_GB2312" w:hAnsi="仿宋" w:eastAsia="仿宋_GB2312"/>
          <w:sz w:val="30"/>
          <w:szCs w:val="30"/>
          <w:lang w:val="en-US" w:eastAsia="zh-CN"/>
        </w:rPr>
      </w:pPr>
      <w:r>
        <w:rPr>
          <w:rFonts w:hint="eastAsia" w:ascii="仿宋_GB2312" w:hAnsi="仿宋" w:eastAsia="仿宋_GB2312"/>
          <w:sz w:val="30"/>
          <w:szCs w:val="30"/>
          <w:lang w:val="en-US" w:eastAsia="zh-CN"/>
        </w:rPr>
        <w:t>2021年度本项目资金纳入年初预算，全年预算数为67.73万元，全年执行数为67.73万元，执行率100%。</w:t>
      </w:r>
    </w:p>
    <w:p w14:paraId="2FEBCF91">
      <w:pPr>
        <w:pStyle w:val="2"/>
        <w:numPr>
          <w:ilvl w:val="0"/>
          <w:numId w:val="3"/>
        </w:numPr>
        <w:ind w:firstLine="602" w:firstLineChars="200"/>
        <w:jc w:val="both"/>
        <w:rPr>
          <w:rFonts w:hint="eastAsia" w:ascii="仿宋" w:hAnsi="仿宋" w:eastAsia="仿宋" w:cs="仿宋_GB2312"/>
          <w:b/>
          <w:bCs/>
          <w:kern w:val="0"/>
          <w:sz w:val="30"/>
          <w:szCs w:val="30"/>
          <w:lang w:val="en-US" w:eastAsia="zh-CN"/>
        </w:rPr>
      </w:pPr>
      <w:r>
        <w:rPr>
          <w:rFonts w:hint="eastAsia" w:ascii="仿宋" w:hAnsi="仿宋" w:eastAsia="仿宋" w:cs="仿宋_GB2312"/>
          <w:b/>
          <w:bCs/>
          <w:kern w:val="0"/>
          <w:sz w:val="30"/>
          <w:szCs w:val="30"/>
          <w:lang w:val="en-US" w:eastAsia="zh-CN"/>
        </w:rPr>
        <w:t>绩效评价工作开展情况</w:t>
      </w:r>
    </w:p>
    <w:p w14:paraId="0707C5DB">
      <w:pPr>
        <w:pStyle w:val="2"/>
        <w:numPr>
          <w:ilvl w:val="0"/>
          <w:numId w:val="5"/>
        </w:numPr>
        <w:ind w:firstLine="600" w:firstLineChars="200"/>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评价范围和目的。本次绩效评价的对象为2021年度随军家属安置经费项目实施情况，主要从项目执行率、项目产出、项目效益、项目满意度四个方面对项目资金投入与使用、绩效目标设定、预算管理、绩效目标的实现程度及效益等情况进行评价。通过绩效评价，帮助项目单位加强项目支出管理，进一步提高财政资金使用效益，同时为以后年度预算资金分配提供参考。</w:t>
      </w:r>
    </w:p>
    <w:p w14:paraId="79EA4814">
      <w:pPr>
        <w:numPr>
          <w:ilvl w:val="0"/>
          <w:numId w:val="5"/>
        </w:numPr>
        <w:ind w:left="0" w:leftChars="0" w:firstLine="600" w:firstLineChars="200"/>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评价指标体系。本次评价指标体系包括全年执行率、产出、满意度3个一级指标，下设5个二级指标和6个三级指标，绩效评价总分值为100分。其中：全年执行率指标10分，对资金到位率、预算执行率进行评价分析；产出指标70分，主要从产出数量、产出质量、资金使用合规性进行评价分析；满意度指标20分，主要从服务对象满意度方面进项评价分析。</w:t>
      </w:r>
    </w:p>
    <w:p w14:paraId="2D520A34">
      <w:pPr>
        <w:numPr>
          <w:ilvl w:val="0"/>
          <w:numId w:val="5"/>
        </w:numPr>
        <w:ind w:left="0" w:leftChars="0" w:firstLine="600" w:firstLineChars="200"/>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评价结论。根据财政提供的项目支出绩效评价指 标体系框架，结合工作实际对 2021年度“随军家属安置经费”项 目绩效打分评价,自评分100分。2021年度“随军家属安置经费”项目立项依据充分，项目管理规范，执行情况良好，完成较好。但项目还存在绩效指标设置有待于进一步完善的问题。</w:t>
      </w:r>
    </w:p>
    <w:p w14:paraId="001401A1">
      <w:pPr>
        <w:numPr>
          <w:ilvl w:val="0"/>
          <w:numId w:val="3"/>
        </w:numPr>
        <w:ind w:left="0" w:leftChars="0" w:firstLine="602" w:firstLineChars="200"/>
        <w:rPr>
          <w:rFonts w:hint="eastAsia" w:ascii="仿宋" w:hAnsi="仿宋" w:eastAsia="仿宋" w:cs="仿宋"/>
          <w:b/>
          <w:bCs/>
          <w:sz w:val="30"/>
          <w:szCs w:val="30"/>
        </w:rPr>
      </w:pPr>
      <w:r>
        <w:rPr>
          <w:rFonts w:hint="eastAsia" w:ascii="仿宋" w:hAnsi="仿宋" w:eastAsia="仿宋" w:cs="仿宋"/>
          <w:b/>
          <w:bCs/>
          <w:sz w:val="30"/>
          <w:szCs w:val="30"/>
        </w:rPr>
        <w:t xml:space="preserve">绩效评价指标分析 </w:t>
      </w:r>
    </w:p>
    <w:p w14:paraId="40226826">
      <w:pPr>
        <w:numPr>
          <w:ilvl w:val="0"/>
          <w:numId w:val="6"/>
        </w:numPr>
        <w:ind w:firstLine="600" w:firstLineChars="200"/>
        <w:rPr>
          <w:rFonts w:hint="eastAsia" w:ascii="仿宋" w:hAnsi="仿宋" w:eastAsia="仿宋" w:cs="仿宋"/>
          <w:sz w:val="30"/>
          <w:szCs w:val="30"/>
        </w:rPr>
      </w:pPr>
      <w:r>
        <w:rPr>
          <w:rFonts w:hint="eastAsia" w:ascii="仿宋" w:hAnsi="仿宋" w:eastAsia="仿宋" w:cs="仿宋"/>
          <w:sz w:val="30"/>
          <w:szCs w:val="30"/>
        </w:rPr>
        <w:t>全年执行率指标分析。该指标分值</w:t>
      </w:r>
      <w:r>
        <w:rPr>
          <w:rFonts w:hint="eastAsia" w:ascii="仿宋" w:hAnsi="仿宋" w:eastAsia="仿宋" w:cs="仿宋"/>
          <w:sz w:val="30"/>
          <w:szCs w:val="30"/>
          <w:lang w:val="en-US" w:eastAsia="zh-CN"/>
        </w:rPr>
        <w:t>10</w:t>
      </w:r>
      <w:r>
        <w:rPr>
          <w:rFonts w:hint="eastAsia" w:ascii="仿宋" w:hAnsi="仿宋" w:eastAsia="仿宋" w:cs="仿宋"/>
          <w:sz w:val="30"/>
          <w:szCs w:val="30"/>
        </w:rPr>
        <w:t>分，得分</w:t>
      </w:r>
      <w:r>
        <w:rPr>
          <w:rFonts w:hint="eastAsia" w:ascii="仿宋" w:hAnsi="仿宋" w:eastAsia="仿宋" w:cs="仿宋"/>
          <w:sz w:val="30"/>
          <w:szCs w:val="30"/>
          <w:lang w:val="en-US" w:eastAsia="zh-CN"/>
        </w:rPr>
        <w:t>10</w:t>
      </w:r>
      <w:r>
        <w:rPr>
          <w:rFonts w:hint="eastAsia" w:ascii="仿宋" w:hAnsi="仿宋" w:eastAsia="仿宋" w:cs="仿宋"/>
          <w:sz w:val="30"/>
          <w:szCs w:val="30"/>
        </w:rPr>
        <w:t>分。</w:t>
      </w:r>
      <w:r>
        <w:rPr>
          <w:rFonts w:hint="eastAsia" w:ascii="仿宋" w:hAnsi="仿宋" w:eastAsia="仿宋" w:cs="仿宋"/>
          <w:sz w:val="30"/>
          <w:szCs w:val="30"/>
          <w:lang w:eastAsia="zh-CN"/>
        </w:rPr>
        <w:t>2021</w:t>
      </w:r>
      <w:r>
        <w:rPr>
          <w:rFonts w:hint="eastAsia" w:ascii="仿宋" w:hAnsi="仿宋" w:eastAsia="仿宋" w:cs="仿宋"/>
          <w:sz w:val="30"/>
          <w:szCs w:val="30"/>
        </w:rPr>
        <w:t>年度本项目资金纳入年初预算，全年预算数为</w:t>
      </w:r>
      <w:r>
        <w:rPr>
          <w:rFonts w:hint="eastAsia" w:ascii="仿宋" w:hAnsi="仿宋" w:eastAsia="仿宋" w:cs="仿宋"/>
          <w:sz w:val="30"/>
          <w:szCs w:val="30"/>
          <w:lang w:val="en-US" w:eastAsia="zh-CN"/>
        </w:rPr>
        <w:t>67.73</w:t>
      </w:r>
      <w:r>
        <w:rPr>
          <w:rFonts w:hint="eastAsia" w:ascii="仿宋" w:hAnsi="仿宋" w:eastAsia="仿宋" w:cs="仿宋"/>
          <w:sz w:val="30"/>
          <w:szCs w:val="30"/>
        </w:rPr>
        <w:t>万元，全年执行数为</w:t>
      </w:r>
      <w:r>
        <w:rPr>
          <w:rFonts w:hint="eastAsia" w:ascii="仿宋" w:hAnsi="仿宋" w:eastAsia="仿宋" w:cs="仿宋"/>
          <w:sz w:val="30"/>
          <w:szCs w:val="30"/>
          <w:lang w:val="en-US" w:eastAsia="zh-CN"/>
        </w:rPr>
        <w:t>67.73</w:t>
      </w:r>
      <w:r>
        <w:rPr>
          <w:rFonts w:hint="eastAsia" w:ascii="仿宋" w:hAnsi="仿宋" w:eastAsia="仿宋" w:cs="仿宋"/>
          <w:sz w:val="30"/>
          <w:szCs w:val="30"/>
        </w:rPr>
        <w:t>万元，执行率</w:t>
      </w:r>
      <w:r>
        <w:rPr>
          <w:rFonts w:hint="eastAsia" w:ascii="仿宋" w:hAnsi="仿宋" w:eastAsia="仿宋" w:cs="仿宋"/>
          <w:sz w:val="30"/>
          <w:szCs w:val="30"/>
          <w:lang w:val="en-US" w:eastAsia="zh-CN"/>
        </w:rPr>
        <w:t>100</w:t>
      </w:r>
      <w:r>
        <w:rPr>
          <w:rFonts w:hint="eastAsia" w:ascii="仿宋" w:hAnsi="仿宋" w:eastAsia="仿宋" w:cs="仿宋"/>
          <w:sz w:val="30"/>
          <w:szCs w:val="30"/>
        </w:rPr>
        <w:t xml:space="preserve">%，预算执行率良好。 </w:t>
      </w:r>
    </w:p>
    <w:p w14:paraId="559DE7E7">
      <w:pPr>
        <w:numPr>
          <w:ilvl w:val="0"/>
          <w:numId w:val="6"/>
        </w:numPr>
        <w:ind w:left="0" w:leftChars="0" w:firstLine="600" w:firstLineChars="200"/>
        <w:rPr>
          <w:rFonts w:hint="eastAsia" w:ascii="仿宋" w:hAnsi="仿宋" w:eastAsia="仿宋" w:cs="仿宋"/>
          <w:sz w:val="30"/>
          <w:szCs w:val="30"/>
        </w:rPr>
      </w:pPr>
      <w:r>
        <w:rPr>
          <w:rFonts w:hint="eastAsia" w:ascii="仿宋" w:hAnsi="仿宋" w:eastAsia="仿宋" w:cs="仿宋"/>
          <w:sz w:val="30"/>
          <w:szCs w:val="30"/>
        </w:rPr>
        <w:t>产出指标分析。该指标分值</w:t>
      </w:r>
      <w:r>
        <w:rPr>
          <w:rFonts w:hint="eastAsia" w:ascii="仿宋" w:hAnsi="仿宋" w:eastAsia="仿宋" w:cs="仿宋"/>
          <w:sz w:val="30"/>
          <w:szCs w:val="30"/>
          <w:lang w:val="en-US" w:eastAsia="zh-CN"/>
        </w:rPr>
        <w:t>70</w:t>
      </w:r>
      <w:r>
        <w:rPr>
          <w:rFonts w:hint="eastAsia" w:ascii="仿宋" w:hAnsi="仿宋" w:eastAsia="仿宋" w:cs="仿宋"/>
          <w:sz w:val="30"/>
          <w:szCs w:val="30"/>
        </w:rPr>
        <w:t>分，得分</w:t>
      </w:r>
      <w:r>
        <w:rPr>
          <w:rFonts w:hint="eastAsia" w:ascii="仿宋" w:hAnsi="仿宋" w:eastAsia="仿宋" w:cs="仿宋"/>
          <w:sz w:val="30"/>
          <w:szCs w:val="30"/>
          <w:lang w:val="en-US" w:eastAsia="zh-CN"/>
        </w:rPr>
        <w:t>70</w:t>
      </w:r>
      <w:r>
        <w:rPr>
          <w:rFonts w:hint="eastAsia" w:ascii="仿宋" w:hAnsi="仿宋" w:eastAsia="仿宋" w:cs="仿宋"/>
          <w:sz w:val="30"/>
          <w:szCs w:val="30"/>
        </w:rPr>
        <w:t>分。</w:t>
      </w:r>
      <w:r>
        <w:rPr>
          <w:rFonts w:hint="eastAsia" w:ascii="仿宋" w:hAnsi="仿宋" w:eastAsia="仿宋" w:cs="仿宋"/>
          <w:sz w:val="30"/>
          <w:szCs w:val="30"/>
          <w:lang w:val="en-US" w:eastAsia="zh-CN"/>
        </w:rPr>
        <w:t>完成符合条件81人足额并及时发放随军家属安置经费。</w:t>
      </w:r>
    </w:p>
    <w:p w14:paraId="3B4A6EF9">
      <w:pPr>
        <w:numPr>
          <w:ilvl w:val="0"/>
          <w:numId w:val="6"/>
        </w:numPr>
        <w:ind w:left="0" w:leftChars="0" w:firstLine="600" w:firstLineChars="200"/>
        <w:rPr>
          <w:rFonts w:hint="eastAsia" w:ascii="仿宋" w:hAnsi="仿宋" w:eastAsia="仿宋" w:cs="仿宋"/>
          <w:sz w:val="30"/>
          <w:szCs w:val="30"/>
        </w:rPr>
      </w:pPr>
      <w:r>
        <w:rPr>
          <w:rFonts w:hint="eastAsia" w:ascii="仿宋" w:hAnsi="仿宋" w:eastAsia="仿宋" w:cs="仿宋"/>
          <w:sz w:val="30"/>
          <w:szCs w:val="30"/>
        </w:rPr>
        <w:t>满意度指标分析。该指标分值</w:t>
      </w:r>
      <w:r>
        <w:rPr>
          <w:rFonts w:hint="eastAsia" w:ascii="仿宋" w:hAnsi="仿宋" w:eastAsia="仿宋" w:cs="仿宋"/>
          <w:sz w:val="30"/>
          <w:szCs w:val="30"/>
          <w:lang w:val="en-US" w:eastAsia="zh-CN"/>
        </w:rPr>
        <w:t>20</w:t>
      </w:r>
      <w:r>
        <w:rPr>
          <w:rFonts w:hint="eastAsia" w:ascii="仿宋" w:hAnsi="仿宋" w:eastAsia="仿宋" w:cs="仿宋"/>
          <w:sz w:val="30"/>
          <w:szCs w:val="30"/>
        </w:rPr>
        <w:t>分，得分</w:t>
      </w:r>
      <w:r>
        <w:rPr>
          <w:rFonts w:hint="eastAsia" w:ascii="仿宋" w:hAnsi="仿宋" w:eastAsia="仿宋" w:cs="仿宋"/>
          <w:sz w:val="30"/>
          <w:szCs w:val="30"/>
          <w:lang w:val="en-US" w:eastAsia="zh-CN"/>
        </w:rPr>
        <w:t>20</w:t>
      </w:r>
      <w:r>
        <w:rPr>
          <w:rFonts w:hint="eastAsia" w:ascii="仿宋" w:hAnsi="仿宋" w:eastAsia="仿宋" w:cs="仿宋"/>
          <w:sz w:val="30"/>
          <w:szCs w:val="30"/>
        </w:rPr>
        <w:t>分。</w:t>
      </w:r>
      <w:r>
        <w:rPr>
          <w:rFonts w:hint="eastAsia" w:ascii="仿宋" w:hAnsi="仿宋" w:eastAsia="仿宋" w:cs="仿宋"/>
          <w:sz w:val="30"/>
          <w:szCs w:val="30"/>
          <w:lang w:val="en-US" w:eastAsia="zh-CN"/>
        </w:rPr>
        <w:t>符合发放条件军人及军属</w:t>
      </w:r>
      <w:r>
        <w:rPr>
          <w:rFonts w:hint="eastAsia" w:ascii="仿宋" w:hAnsi="仿宋" w:eastAsia="仿宋" w:cs="仿宋"/>
          <w:sz w:val="30"/>
          <w:szCs w:val="30"/>
        </w:rPr>
        <w:t>满意度较高。</w:t>
      </w:r>
    </w:p>
    <w:p w14:paraId="139D17BA">
      <w:pPr>
        <w:pStyle w:val="2"/>
        <w:numPr>
          <w:ilvl w:val="0"/>
          <w:numId w:val="3"/>
        </w:numPr>
        <w:ind w:left="0" w:leftChars="0" w:firstLine="602" w:firstLineChars="2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其他需要说明的问题</w:t>
      </w:r>
    </w:p>
    <w:p w14:paraId="6FEDB632">
      <w:pPr>
        <w:pStyle w:val="2"/>
        <w:numPr>
          <w:ilvl w:val="0"/>
          <w:numId w:val="0"/>
        </w:numPr>
        <w:ind w:leftChars="200" w:firstLine="300" w:firstLineChars="1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无</w:t>
      </w:r>
    </w:p>
    <w:p w14:paraId="272D5F62">
      <w:pPr>
        <w:widowControl/>
        <w:spacing w:line="600" w:lineRule="exact"/>
        <w:jc w:val="both"/>
        <w:rPr>
          <w:rFonts w:hint="eastAsia" w:ascii="宋体" w:hAnsi="宋体"/>
          <w:b/>
          <w:sz w:val="32"/>
          <w:szCs w:val="32"/>
        </w:rPr>
      </w:pPr>
    </w:p>
    <w:p w14:paraId="6371A36E">
      <w:pPr>
        <w:widowControl/>
        <w:spacing w:line="600" w:lineRule="exact"/>
        <w:ind w:firstLine="640"/>
        <w:jc w:val="center"/>
        <w:rPr>
          <w:rFonts w:hint="eastAsia" w:ascii="宋体" w:hAnsi="宋体"/>
          <w:b/>
          <w:sz w:val="32"/>
          <w:szCs w:val="32"/>
        </w:rPr>
      </w:pPr>
    </w:p>
    <w:p w14:paraId="0AA9C7FE">
      <w:pPr>
        <w:widowControl/>
        <w:spacing w:line="600" w:lineRule="exact"/>
        <w:ind w:firstLine="640"/>
        <w:jc w:val="center"/>
        <w:rPr>
          <w:rFonts w:hint="eastAsia" w:ascii="宋体" w:hAnsi="宋体"/>
          <w:b/>
          <w:sz w:val="32"/>
          <w:szCs w:val="32"/>
        </w:rPr>
      </w:pPr>
      <w:r>
        <w:rPr>
          <w:rFonts w:hint="eastAsia" w:ascii="宋体" w:hAnsi="宋体"/>
          <w:b/>
          <w:sz w:val="32"/>
          <w:szCs w:val="32"/>
        </w:rPr>
        <w:t>第四部分  名词解释</w:t>
      </w:r>
    </w:p>
    <w:p w14:paraId="604F9AE2">
      <w:pPr>
        <w:pStyle w:val="5"/>
        <w:spacing w:line="600" w:lineRule="atLeast"/>
        <w:ind w:firstLine="600"/>
        <w:rPr>
          <w:rFonts w:hint="eastAsia" w:ascii="仿宋" w:hAnsi="仿宋" w:eastAsia="仿宋"/>
          <w:sz w:val="30"/>
          <w:szCs w:val="30"/>
        </w:rPr>
      </w:pPr>
    </w:p>
    <w:p w14:paraId="597598DA">
      <w:pPr>
        <w:widowControl/>
        <w:spacing w:line="580" w:lineRule="exact"/>
        <w:ind w:firstLine="602" w:firstLineChars="200"/>
        <w:jc w:val="left"/>
        <w:rPr>
          <w:rFonts w:hint="eastAsia" w:ascii="仿宋" w:hAnsi="仿宋" w:eastAsia="仿宋"/>
          <w:b/>
          <w:bCs/>
          <w:kern w:val="0"/>
          <w:sz w:val="30"/>
          <w:szCs w:val="30"/>
        </w:rPr>
      </w:pPr>
      <w:r>
        <w:rPr>
          <w:rFonts w:hint="eastAsia" w:ascii="仿宋" w:hAnsi="仿宋" w:eastAsia="仿宋"/>
          <w:b/>
          <w:bCs/>
          <w:kern w:val="0"/>
          <w:sz w:val="30"/>
          <w:szCs w:val="30"/>
        </w:rPr>
        <w:t>一、收入科目</w:t>
      </w:r>
    </w:p>
    <w:p w14:paraId="635ACD8F">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（一）财政拨款：指市级财政当年拨付的资金。</w:t>
      </w:r>
    </w:p>
    <w:p w14:paraId="2D1527C7">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atLeast"/>
        <w:ind w:left="0" w:right="0" w:firstLine="600" w:firstLineChars="200"/>
        <w:jc w:val="left"/>
        <w:textAlignment w:val="auto"/>
        <w:rPr>
          <w:rFonts w:hint="default" w:eastAsia="仿宋"/>
          <w:lang w:val="en-US" w:eastAsia="zh-CN"/>
        </w:rPr>
      </w:pPr>
      <w:r>
        <w:rPr>
          <w:rFonts w:hint="eastAsia" w:ascii="仿宋" w:hAnsi="仿宋" w:eastAsia="仿宋"/>
          <w:kern w:val="0"/>
          <w:sz w:val="30"/>
          <w:szCs w:val="30"/>
          <w:lang w:val="en-US" w:eastAsia="zh-CN"/>
        </w:rPr>
        <w:t>（二）</w:t>
      </w:r>
      <w:r>
        <w:rPr>
          <w:rFonts w:hint="eastAsia" w:ascii="仿宋" w:hAnsi="仿宋" w:eastAsia="仿宋" w:cs="仿宋"/>
          <w:kern w:val="0"/>
          <w:sz w:val="30"/>
          <w:szCs w:val="30"/>
          <w:lang w:val="en-US" w:eastAsia="zh-CN" w:bidi="ar"/>
        </w:rPr>
        <w:t>其他收入：指除财政拨款、事业收入、事业单位经营收入等以外的各项收入。</w:t>
      </w:r>
    </w:p>
    <w:p w14:paraId="30FBEDDB">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三</w:t>
      </w:r>
      <w:r>
        <w:rPr>
          <w:rFonts w:hint="eastAsia" w:ascii="仿宋" w:hAnsi="仿宋" w:eastAsia="仿宋"/>
          <w:kern w:val="0"/>
          <w:sz w:val="30"/>
          <w:szCs w:val="30"/>
        </w:rPr>
        <w:t>）上年结转和结余：填列</w:t>
      </w:r>
      <w:r>
        <w:rPr>
          <w:rFonts w:hint="eastAsia" w:ascii="仿宋" w:hAnsi="仿宋" w:eastAsia="仿宋"/>
          <w:kern w:val="0"/>
          <w:sz w:val="30"/>
          <w:szCs w:val="30"/>
          <w:lang w:eastAsia="zh-CN"/>
        </w:rPr>
        <w:t>2021</w:t>
      </w:r>
      <w:r>
        <w:rPr>
          <w:rFonts w:hint="eastAsia" w:ascii="仿宋" w:hAnsi="仿宋" w:eastAsia="仿宋"/>
          <w:kern w:val="0"/>
          <w:sz w:val="30"/>
          <w:szCs w:val="30"/>
        </w:rPr>
        <w:t>年全部结转和结余的资金数，包括当年结转结余资金和历年滚存结转结余资金。</w:t>
      </w:r>
    </w:p>
    <w:p w14:paraId="635778F0">
      <w:pPr>
        <w:widowControl/>
        <w:spacing w:line="580" w:lineRule="exact"/>
        <w:ind w:firstLine="602" w:firstLineChars="200"/>
        <w:jc w:val="left"/>
        <w:rPr>
          <w:rFonts w:hint="eastAsia" w:ascii="仿宋" w:hAnsi="仿宋" w:eastAsia="仿宋"/>
          <w:b/>
          <w:bCs/>
          <w:kern w:val="0"/>
          <w:sz w:val="30"/>
          <w:szCs w:val="30"/>
        </w:rPr>
      </w:pPr>
      <w:r>
        <w:rPr>
          <w:rFonts w:hint="eastAsia" w:ascii="仿宋" w:hAnsi="仿宋" w:eastAsia="仿宋"/>
          <w:b/>
          <w:bCs/>
          <w:kern w:val="0"/>
          <w:sz w:val="30"/>
          <w:szCs w:val="30"/>
        </w:rPr>
        <w:t>二、支出科目</w:t>
      </w:r>
    </w:p>
    <w:p w14:paraId="08342464">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（一）基本支出：反映为保障机构正常运转、完成日常 工作任务而发生的人员支出和公用支出。 </w:t>
      </w:r>
    </w:p>
    <w:p w14:paraId="3B9E91FF">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（二）项目支出：反映在基本支出之外为完成特定行政任务和事业发展目标所发生的支出。</w:t>
      </w:r>
    </w:p>
    <w:p w14:paraId="781EECF1">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三</w:t>
      </w:r>
      <w:r>
        <w:rPr>
          <w:rFonts w:hint="eastAsia" w:ascii="仿宋" w:hAnsi="仿宋" w:eastAsia="仿宋" w:cs="仿宋"/>
          <w:sz w:val="30"/>
          <w:szCs w:val="30"/>
        </w:rPr>
        <w:t xml:space="preserve">）“三公”经费：反映纳入财政预决算管理的“三 公”经费，包括因公出国（境）费、公务用车购置及运行费、公务接待费。其中，因公出国（境）费反映单位公务出国（境）的国际旅费、国外城市间交通费、住宿费、伙食费、培训费、公杂费等支出；公务用车购置及运行费反映单位公务用车车 辆购置支出（含车辆购置税）及租用费、燃料费、维修费、过路过桥费、保险费、安全奖励费用等支出；公务接待费反 映单位按规定开支的各类公务接待（含外宾接待）支出。 </w:t>
      </w:r>
    </w:p>
    <w:p w14:paraId="45278799">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四</w:t>
      </w:r>
      <w:r>
        <w:rPr>
          <w:rFonts w:hint="eastAsia" w:ascii="仿宋" w:hAnsi="仿宋" w:eastAsia="仿宋" w:cs="仿宋"/>
          <w:sz w:val="30"/>
          <w:szCs w:val="30"/>
        </w:rPr>
        <w:t>）机关运行经费：为保障行政单位（包括参照公务员法管理的事业单位）运行，用于购买货物和服务的各项资金。包括办公费、印刷费、水电费、邮电费、物业管理费、差旅费、会议费、福利费、维修（护）费、培训费、专用材料费、办公设备及办公家俱购置费、劳务费、因公出国（境）费、公务用车购置及运行费、公务接待费、其他交通费以及其他费用。</w:t>
      </w:r>
    </w:p>
    <w:p w14:paraId="2788980A">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五</w:t>
      </w:r>
      <w:r>
        <w:rPr>
          <w:rFonts w:hint="eastAsia" w:ascii="仿宋" w:hAnsi="仿宋" w:eastAsia="仿宋"/>
          <w:kern w:val="0"/>
          <w:sz w:val="30"/>
          <w:szCs w:val="30"/>
        </w:rPr>
        <w:t>）社会保障和就业支出（类）行政事业单位养老支出（款）行政单位离退休（项）：反映行政单位（包括实行公务员管理的事业单位）开支的离退休经费。</w:t>
      </w:r>
    </w:p>
    <w:p w14:paraId="3F3A5FEF">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六</w:t>
      </w:r>
      <w:r>
        <w:rPr>
          <w:rFonts w:hint="eastAsia" w:ascii="仿宋" w:hAnsi="仿宋" w:eastAsia="仿宋"/>
          <w:kern w:val="0"/>
          <w:sz w:val="30"/>
          <w:szCs w:val="30"/>
        </w:rPr>
        <w:t>）社会保障和就业支出（类）行政事业单位养老支出（款）事业单位离退休（项）：反映事业单位开支的离退休经费。</w:t>
      </w:r>
    </w:p>
    <w:p w14:paraId="1E4DEF50">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七</w:t>
      </w:r>
      <w:r>
        <w:rPr>
          <w:rFonts w:hint="eastAsia" w:ascii="仿宋" w:hAnsi="仿宋" w:eastAsia="仿宋"/>
          <w:kern w:val="0"/>
          <w:sz w:val="30"/>
          <w:szCs w:val="30"/>
        </w:rPr>
        <w:t>）社会保障和就业支出（类）行政事业单位养老支出（款）机关事业单位基本养老保险缴费支出（项）：反映机关事业单位实施养老保险制度由单位缴纳的基本养老保险费支出。</w:t>
      </w:r>
    </w:p>
    <w:p w14:paraId="67AAE87D">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八</w:t>
      </w:r>
      <w:r>
        <w:rPr>
          <w:rFonts w:hint="eastAsia" w:ascii="仿宋" w:hAnsi="仿宋" w:eastAsia="仿宋"/>
          <w:kern w:val="0"/>
          <w:sz w:val="30"/>
          <w:szCs w:val="30"/>
        </w:rPr>
        <w:t>）社会保障和就业支出（类）抚恤（款）其他优抚支出（项）：反映春节及八一走访慰问项目支出。</w:t>
      </w:r>
    </w:p>
    <w:p w14:paraId="1A6E7D0E">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九</w:t>
      </w:r>
      <w:r>
        <w:rPr>
          <w:rFonts w:hint="eastAsia" w:ascii="仿宋" w:hAnsi="仿宋" w:eastAsia="仿宋"/>
          <w:kern w:val="0"/>
          <w:sz w:val="30"/>
          <w:szCs w:val="30"/>
        </w:rPr>
        <w:t>）社会保障和就业支出（类）退役安置（款） 退役士兵安置（项）：对符合条件的退役士兵、转业士官的安置支出。</w:t>
      </w:r>
    </w:p>
    <w:p w14:paraId="0DDDFC80">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w:t>
      </w:r>
      <w:r>
        <w:rPr>
          <w:rFonts w:hint="eastAsia" w:ascii="仿宋" w:hAnsi="仿宋" w:eastAsia="仿宋"/>
          <w:kern w:val="0"/>
          <w:sz w:val="30"/>
          <w:szCs w:val="30"/>
        </w:rPr>
        <w:t>）社会保障和就业支出（类）退役安置（款） 军队移交政府离退休干部管理机构（项）：反应民政部门管理的军休所的人员经费、公用经费以及管理机构用法建设经费等支出。</w:t>
      </w:r>
    </w:p>
    <w:p w14:paraId="0A9CF650">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十一</w:t>
      </w:r>
      <w:r>
        <w:rPr>
          <w:rFonts w:hint="eastAsia" w:ascii="仿宋" w:hAnsi="仿宋" w:eastAsia="仿宋"/>
          <w:kern w:val="0"/>
          <w:sz w:val="30"/>
          <w:szCs w:val="30"/>
        </w:rPr>
        <w:t>）社会保障和就业支出（类）退役安置（款） 军队转业干部安置（项）：反映军转干部安置、人员经费、自主择业退役金等方面的支出。</w:t>
      </w:r>
    </w:p>
    <w:p w14:paraId="5F4C8079">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十二</w:t>
      </w:r>
      <w:r>
        <w:rPr>
          <w:rFonts w:hint="eastAsia" w:ascii="仿宋" w:hAnsi="仿宋" w:eastAsia="仿宋"/>
          <w:kern w:val="0"/>
          <w:sz w:val="30"/>
          <w:szCs w:val="30"/>
        </w:rPr>
        <w:t>）社会保障和就业支出（类）退役安置（款） 其他退役安置支出（项）：反映上述项目以外的用于退役安置方面的支出。</w:t>
      </w:r>
    </w:p>
    <w:p w14:paraId="477634B7">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十三</w:t>
      </w:r>
      <w:r>
        <w:rPr>
          <w:rFonts w:hint="eastAsia" w:ascii="仿宋" w:hAnsi="仿宋" w:eastAsia="仿宋"/>
          <w:kern w:val="0"/>
          <w:sz w:val="30"/>
          <w:szCs w:val="30"/>
        </w:rPr>
        <w:t>）社会保障和就业支出（类）退役军人管理事务（款） 行政运行（项）：反映行政单位的基本支出。</w:t>
      </w:r>
    </w:p>
    <w:p w14:paraId="66E69F4F">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四</w:t>
      </w:r>
      <w:r>
        <w:rPr>
          <w:rFonts w:hint="eastAsia" w:ascii="仿宋" w:hAnsi="仿宋" w:eastAsia="仿宋"/>
          <w:kern w:val="0"/>
          <w:sz w:val="30"/>
          <w:szCs w:val="30"/>
        </w:rPr>
        <w:t>）社会保障和就业支出（类）退役军人管理事务（款） 拥军优属（项）：反映拥军优属活动的支出。</w:t>
      </w:r>
    </w:p>
    <w:p w14:paraId="25C302B6">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五</w:t>
      </w:r>
      <w:r>
        <w:rPr>
          <w:rFonts w:hint="eastAsia" w:ascii="仿宋" w:hAnsi="仿宋" w:eastAsia="仿宋"/>
          <w:kern w:val="0"/>
          <w:sz w:val="30"/>
          <w:szCs w:val="30"/>
        </w:rPr>
        <w:t>）社会保障和就业支出（类）退役军人管理事务（款） 部队供应（项）：反映军供站等用于保障军队运输和饮食供应的支出。</w:t>
      </w:r>
    </w:p>
    <w:p w14:paraId="0658508B">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六</w:t>
      </w:r>
      <w:r>
        <w:rPr>
          <w:rFonts w:hint="eastAsia" w:ascii="仿宋" w:hAnsi="仿宋" w:eastAsia="仿宋"/>
          <w:kern w:val="0"/>
          <w:sz w:val="30"/>
          <w:szCs w:val="30"/>
        </w:rPr>
        <w:t>）社会保障和就业支出（类）退役军人管理事务（款） 其他退役军人事务管理支出（项）：反映除上述项目以外的其他用于退役军人事务管理方面的支出。</w:t>
      </w:r>
    </w:p>
    <w:p w14:paraId="3A452A88">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七</w:t>
      </w:r>
      <w:r>
        <w:rPr>
          <w:rFonts w:hint="eastAsia" w:ascii="仿宋" w:hAnsi="仿宋" w:eastAsia="仿宋"/>
          <w:kern w:val="0"/>
          <w:sz w:val="30"/>
          <w:szCs w:val="30"/>
        </w:rPr>
        <w:t>）社会保障和就业支出（类）其他社会保障和就业支出（款）其他社会保障和就业支出（项）：反映其他用于其他社会保障和就业支出方面的支出。</w:t>
      </w:r>
    </w:p>
    <w:p w14:paraId="31B137FD">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八</w:t>
      </w:r>
      <w:r>
        <w:rPr>
          <w:rFonts w:hint="eastAsia" w:ascii="仿宋" w:hAnsi="仿宋" w:eastAsia="仿宋"/>
          <w:kern w:val="0"/>
          <w:sz w:val="30"/>
          <w:szCs w:val="30"/>
        </w:rPr>
        <w:t>）卫生健康支出（类）行政事业单位医疗（款）行政单位医疗（项）：反映财政部门安排的行政单位（包括实行公务员管理的事业单位）基本医疗保险缴费经费。</w:t>
      </w:r>
    </w:p>
    <w:p w14:paraId="5E0DCDCE">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十九</w:t>
      </w:r>
      <w:r>
        <w:rPr>
          <w:rFonts w:hint="eastAsia" w:ascii="仿宋" w:hAnsi="仿宋" w:eastAsia="仿宋"/>
          <w:kern w:val="0"/>
          <w:sz w:val="30"/>
          <w:szCs w:val="30"/>
        </w:rPr>
        <w:t>）卫生健康支出（类）行政事业单位医疗（款）事业单位医疗（项）：反映财政部门安排的事业单位基本医疗保险缴费经费。</w:t>
      </w:r>
    </w:p>
    <w:p w14:paraId="118EFE0F">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w:t>
      </w:r>
      <w:r>
        <w:rPr>
          <w:rFonts w:hint="eastAsia" w:ascii="仿宋" w:hAnsi="仿宋" w:eastAsia="仿宋"/>
          <w:kern w:val="0"/>
          <w:sz w:val="30"/>
          <w:szCs w:val="30"/>
        </w:rPr>
        <w:t>）卫生健康支出（类）行政事业单位医疗（款）公务员医疗补助（项）：反映财政部门安排的公务员医疗补助经费。</w:t>
      </w:r>
    </w:p>
    <w:p w14:paraId="049618BB">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二十一</w:t>
      </w:r>
      <w:r>
        <w:rPr>
          <w:rFonts w:hint="eastAsia" w:ascii="仿宋" w:hAnsi="仿宋" w:eastAsia="仿宋"/>
          <w:kern w:val="0"/>
          <w:sz w:val="30"/>
          <w:szCs w:val="30"/>
        </w:rPr>
        <w:t>）卫生健康支出（类）行政事业单位医疗（款）其他行政事业单位医疗支出（项）：反映除上述项目以外的其他用于行政事业单位医疗方面的支出。</w:t>
      </w:r>
    </w:p>
    <w:p w14:paraId="3A13F050">
      <w:pPr>
        <w:ind w:firstLine="600" w:firstLineChars="200"/>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二十二</w:t>
      </w:r>
      <w:r>
        <w:rPr>
          <w:rFonts w:hint="eastAsia" w:ascii="仿宋" w:hAnsi="仿宋" w:eastAsia="仿宋"/>
          <w:kern w:val="0"/>
          <w:sz w:val="30"/>
          <w:szCs w:val="30"/>
        </w:rPr>
        <w:t xml:space="preserve">）住房保障支出（类） 住房改革支出（款）住房公积金（项）：住房公积金的支出。 </w:t>
      </w:r>
    </w:p>
    <w:p w14:paraId="2A1A76B0">
      <w:pPr>
        <w:pStyle w:val="2"/>
        <w:rPr>
          <w:rFonts w:hint="eastAsia" w:ascii="仿宋" w:hAnsi="仿宋" w:eastAsia="仿宋"/>
          <w:kern w:val="0"/>
          <w:sz w:val="30"/>
          <w:szCs w:val="30"/>
        </w:rPr>
      </w:pPr>
    </w:p>
    <w:p w14:paraId="5EEA2E6F">
      <w:pPr>
        <w:pStyle w:val="2"/>
        <w:rPr>
          <w:rFonts w:hint="eastAsia" w:ascii="仿宋" w:hAnsi="仿宋" w:eastAsia="仿宋"/>
          <w:kern w:val="0"/>
          <w:sz w:val="30"/>
          <w:szCs w:val="30"/>
        </w:rPr>
      </w:pPr>
    </w:p>
    <w:p w14:paraId="487A2AC9">
      <w:pPr>
        <w:pStyle w:val="2"/>
        <w:rPr>
          <w:rFonts w:hint="eastAsia" w:ascii="仿宋" w:hAnsi="仿宋" w:eastAsia="仿宋"/>
          <w:kern w:val="0"/>
          <w:sz w:val="30"/>
          <w:szCs w:val="30"/>
        </w:rPr>
      </w:pPr>
    </w:p>
    <w:p w14:paraId="7990A671">
      <w:pPr>
        <w:pStyle w:val="2"/>
        <w:rPr>
          <w:rFonts w:hint="eastAsia" w:ascii="仿宋" w:hAnsi="仿宋" w:eastAsia="仿宋"/>
          <w:kern w:val="0"/>
          <w:sz w:val="30"/>
          <w:szCs w:val="30"/>
        </w:rPr>
      </w:pPr>
    </w:p>
    <w:p w14:paraId="42753E15">
      <w:pPr>
        <w:pStyle w:val="2"/>
        <w:jc w:val="right"/>
        <w:rPr>
          <w:rFonts w:hint="default" w:ascii="仿宋" w:hAnsi="仿宋" w:eastAsia="仿宋"/>
          <w:kern w:val="0"/>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74C65B"/>
    <w:multiLevelType w:val="singleLevel"/>
    <w:tmpl w:val="9E74C65B"/>
    <w:lvl w:ilvl="0" w:tentative="0">
      <w:start w:val="2"/>
      <w:numFmt w:val="chineseCounting"/>
      <w:suff w:val="space"/>
      <w:lvlText w:val="第%1部分"/>
      <w:lvlJc w:val="left"/>
      <w:rPr>
        <w:rFonts w:hint="eastAsia"/>
      </w:rPr>
    </w:lvl>
  </w:abstractNum>
  <w:abstractNum w:abstractNumId="1">
    <w:nsid w:val="E2696A5B"/>
    <w:multiLevelType w:val="singleLevel"/>
    <w:tmpl w:val="E2696A5B"/>
    <w:lvl w:ilvl="0" w:tentative="0">
      <w:start w:val="1"/>
      <w:numFmt w:val="chineseCounting"/>
      <w:suff w:val="nothing"/>
      <w:lvlText w:val="（%1）"/>
      <w:lvlJc w:val="left"/>
      <w:rPr>
        <w:rFonts w:hint="eastAsia"/>
      </w:rPr>
    </w:lvl>
  </w:abstractNum>
  <w:abstractNum w:abstractNumId="2">
    <w:nsid w:val="09E5B507"/>
    <w:multiLevelType w:val="singleLevel"/>
    <w:tmpl w:val="09E5B507"/>
    <w:lvl w:ilvl="0" w:tentative="0">
      <w:start w:val="1"/>
      <w:numFmt w:val="chineseCounting"/>
      <w:suff w:val="nothing"/>
      <w:lvlText w:val="（%1）"/>
      <w:lvlJc w:val="left"/>
      <w:rPr>
        <w:rFonts w:hint="eastAsia"/>
      </w:rPr>
    </w:lvl>
  </w:abstractNum>
  <w:abstractNum w:abstractNumId="3">
    <w:nsid w:val="4DBCB15D"/>
    <w:multiLevelType w:val="singleLevel"/>
    <w:tmpl w:val="4DBCB15D"/>
    <w:lvl w:ilvl="0" w:tentative="0">
      <w:start w:val="1"/>
      <w:numFmt w:val="chineseCounting"/>
      <w:suff w:val="nothing"/>
      <w:lvlText w:val="%1、"/>
      <w:lvlJc w:val="left"/>
      <w:rPr>
        <w:rFonts w:hint="eastAsia"/>
      </w:rPr>
    </w:lvl>
  </w:abstractNum>
  <w:abstractNum w:abstractNumId="4">
    <w:nsid w:val="508790A7"/>
    <w:multiLevelType w:val="singleLevel"/>
    <w:tmpl w:val="508790A7"/>
    <w:lvl w:ilvl="0" w:tentative="0">
      <w:start w:val="1"/>
      <w:numFmt w:val="chineseCounting"/>
      <w:suff w:val="nothing"/>
      <w:lvlText w:val="（%1）"/>
      <w:lvlJc w:val="left"/>
      <w:rPr>
        <w:rFonts w:hint="eastAsia"/>
      </w:rPr>
    </w:lvl>
  </w:abstractNum>
  <w:abstractNum w:abstractNumId="5">
    <w:nsid w:val="7345AD02"/>
    <w:multiLevelType w:val="singleLevel"/>
    <w:tmpl w:val="7345AD02"/>
    <w:lvl w:ilvl="0" w:tentative="0">
      <w:start w:val="1"/>
      <w:numFmt w:val="chineseCounting"/>
      <w:suff w:val="nothing"/>
      <w:lvlText w:val="（%1）"/>
      <w:lvlJc w:val="left"/>
      <w:rPr>
        <w:rFonts w:hint="eastAsia"/>
      </w:rPr>
    </w:lvl>
  </w:abstractNum>
  <w:num w:numId="1">
    <w:abstractNumId w:val="0"/>
  </w:num>
  <w:num w:numId="2">
    <w:abstractNumId w:val="4"/>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1OWFjNGFmMDFjYjY3OTU5YTc5MGYxZmU2Y2M4ZTQifQ=="/>
  </w:docVars>
  <w:rsids>
    <w:rsidRoot w:val="00000000"/>
    <w:rsid w:val="03411FB9"/>
    <w:rsid w:val="04014450"/>
    <w:rsid w:val="0ABE2142"/>
    <w:rsid w:val="0E7B0089"/>
    <w:rsid w:val="0F1B0B98"/>
    <w:rsid w:val="0FDE12D6"/>
    <w:rsid w:val="1B0A5729"/>
    <w:rsid w:val="1D9D1F43"/>
    <w:rsid w:val="20C50274"/>
    <w:rsid w:val="20F628BA"/>
    <w:rsid w:val="262C5BFB"/>
    <w:rsid w:val="2F8135BA"/>
    <w:rsid w:val="32171FB4"/>
    <w:rsid w:val="352A495A"/>
    <w:rsid w:val="353C06AF"/>
    <w:rsid w:val="3793334B"/>
    <w:rsid w:val="37FC07D4"/>
    <w:rsid w:val="380A3C85"/>
    <w:rsid w:val="3C160F53"/>
    <w:rsid w:val="42731B53"/>
    <w:rsid w:val="42E90224"/>
    <w:rsid w:val="49B53169"/>
    <w:rsid w:val="4E790AD2"/>
    <w:rsid w:val="511C3F63"/>
    <w:rsid w:val="52A661D2"/>
    <w:rsid w:val="54E51D72"/>
    <w:rsid w:val="56E66A37"/>
    <w:rsid w:val="59EA7E2A"/>
    <w:rsid w:val="5AAE76C8"/>
    <w:rsid w:val="5C4153A9"/>
    <w:rsid w:val="5CEE19DF"/>
    <w:rsid w:val="5D2651CC"/>
    <w:rsid w:val="5DB8630B"/>
    <w:rsid w:val="5F1E5097"/>
    <w:rsid w:val="5FA00C00"/>
    <w:rsid w:val="62115B72"/>
    <w:rsid w:val="64CB4744"/>
    <w:rsid w:val="684E13C1"/>
    <w:rsid w:val="690D7691"/>
    <w:rsid w:val="6C2C0B68"/>
    <w:rsid w:val="6CBB587C"/>
    <w:rsid w:val="6D06067F"/>
    <w:rsid w:val="6F4A0071"/>
    <w:rsid w:val="73397534"/>
    <w:rsid w:val="74F33BDF"/>
    <w:rsid w:val="7C946478"/>
    <w:rsid w:val="7CFE72C6"/>
    <w:rsid w:val="7F1A7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纯文本1"/>
    <w:basedOn w:val="1"/>
    <w:qFormat/>
    <w:uiPriority w:val="0"/>
    <w:rPr>
      <w:rFonts w:ascii="宋体" w:hAnsi="Courier New" w:cs="Courier New"/>
      <w:szCs w:val="21"/>
    </w:rPr>
  </w:style>
  <w:style w:type="paragraph" w:customStyle="1" w:styleId="5">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6304</Words>
  <Characters>6831</Characters>
  <Lines>0</Lines>
  <Paragraphs>0</Paragraphs>
  <TotalTime>6</TotalTime>
  <ScaleCrop>false</ScaleCrop>
  <LinksUpToDate>false</LinksUpToDate>
  <CharactersWithSpaces>6988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2020-09-25T01:41:00Z</dcterms:created>
  <dc:creator>DELL</dc:creator>
  <cp:lastModifiedBy>zjl</cp:lastModifiedBy>
  <dcterms:modified xsi:type="dcterms:W3CDTF">2026-07-03T07:17:20Z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3EFF8BC3C2D84060B6EF7760A62AFE7A</vt:lpwstr>
  </property>
  <property fmtid="{D5CDD505-2E9C-101B-9397-08002B2CF9AE}" pid="4" name="KSOTemplateDocerSaveRecord">
    <vt:lpwstr>eyJoZGlkIjoiZDE0NGEzNGIzZjUwOGU4ZDE5MWE2OTkyZTc1ZTM0ZWUiLCJ1c2VySWQiOiI1MDI5MTkxMDkifQ==</vt:lpwstr>
  </property>
</Properties>
</file>