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03C8D">
      <w:pPr>
        <w:spacing w:line="600" w:lineRule="exact"/>
        <w:jc w:val="center"/>
        <w:rPr>
          <w:rFonts w:hint="eastAsia" w:ascii="黑体" w:hAnsi="黑体" w:eastAsia="黑体"/>
          <w:sz w:val="44"/>
          <w:szCs w:val="36"/>
          <w:lang w:val="en-US" w:eastAsia="zh-CN"/>
        </w:rPr>
      </w:pPr>
    </w:p>
    <w:p w14:paraId="777805EE">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景德镇市烈士陵园管理所</w:t>
      </w:r>
    </w:p>
    <w:p w14:paraId="1AB57A57">
      <w:pPr>
        <w:spacing w:line="600" w:lineRule="exact"/>
        <w:jc w:val="center"/>
        <w:rPr>
          <w:rFonts w:hint="eastAsia" w:ascii="黑体" w:eastAsia="黑体"/>
          <w:sz w:val="44"/>
          <w:szCs w:val="36"/>
        </w:rPr>
      </w:pPr>
      <w:r>
        <w:rPr>
          <w:rFonts w:hint="eastAsia" w:ascii="黑体" w:eastAsia="黑体"/>
          <w:sz w:val="44"/>
          <w:szCs w:val="36"/>
          <w:lang w:val="en-US" w:eastAsia="zh-CN"/>
        </w:rPr>
        <w:t>2021</w:t>
      </w:r>
      <w:r>
        <w:rPr>
          <w:rFonts w:hint="eastAsia" w:ascii="黑体" w:eastAsia="黑体"/>
          <w:sz w:val="44"/>
          <w:szCs w:val="36"/>
        </w:rPr>
        <w:t>年度决算</w:t>
      </w:r>
    </w:p>
    <w:p w14:paraId="5702A2D1">
      <w:pPr>
        <w:spacing w:line="600" w:lineRule="exact"/>
        <w:jc w:val="center"/>
        <w:rPr>
          <w:rFonts w:hint="eastAsia" w:ascii="黑体" w:eastAsia="黑体"/>
          <w:sz w:val="44"/>
          <w:szCs w:val="36"/>
        </w:rPr>
      </w:pPr>
    </w:p>
    <w:p w14:paraId="567074F4">
      <w:pPr>
        <w:spacing w:line="600" w:lineRule="exact"/>
        <w:jc w:val="center"/>
        <w:rPr>
          <w:rFonts w:hint="eastAsia" w:ascii="黑体" w:eastAsia="黑体"/>
          <w:sz w:val="40"/>
          <w:szCs w:val="36"/>
        </w:rPr>
      </w:pPr>
      <w:r>
        <w:rPr>
          <w:rFonts w:hint="eastAsia" w:ascii="黑体" w:eastAsia="黑体"/>
          <w:sz w:val="40"/>
          <w:szCs w:val="36"/>
        </w:rPr>
        <w:t>目    录</w:t>
      </w:r>
    </w:p>
    <w:p w14:paraId="75248AD7">
      <w:pPr>
        <w:widowControl/>
        <w:spacing w:line="600" w:lineRule="exact"/>
        <w:ind w:firstLine="640"/>
        <w:jc w:val="left"/>
        <w:rPr>
          <w:rFonts w:hint="eastAsia" w:ascii="仿宋_GB2312" w:eastAsia="仿宋_GB2312"/>
          <w:sz w:val="32"/>
          <w:szCs w:val="30"/>
        </w:rPr>
      </w:pPr>
    </w:p>
    <w:p w14:paraId="436B8D92">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市烈士陵园管理所</w:t>
      </w:r>
      <w:r>
        <w:rPr>
          <w:rFonts w:hint="eastAsia" w:ascii="黑体" w:hAnsi="黑体" w:eastAsia="黑体"/>
          <w:b/>
          <w:sz w:val="32"/>
          <w:szCs w:val="32"/>
        </w:rPr>
        <w:t>概况</w:t>
      </w:r>
    </w:p>
    <w:p w14:paraId="351AC2B0">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w:t>
      </w:r>
      <w:r>
        <w:rPr>
          <w:rFonts w:hint="eastAsia" w:ascii="仿宋" w:hAnsi="仿宋" w:eastAsia="仿宋"/>
          <w:sz w:val="32"/>
          <w:szCs w:val="30"/>
          <w:lang w:eastAsia="zh-CN"/>
        </w:rPr>
        <w:t>单位</w:t>
      </w:r>
      <w:r>
        <w:rPr>
          <w:rFonts w:hint="eastAsia" w:ascii="仿宋" w:hAnsi="仿宋" w:eastAsia="仿宋"/>
          <w:sz w:val="32"/>
          <w:szCs w:val="30"/>
        </w:rPr>
        <w:t>主要职责</w:t>
      </w:r>
    </w:p>
    <w:p w14:paraId="56B392F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w:t>
      </w:r>
      <w:r>
        <w:rPr>
          <w:rFonts w:hint="eastAsia" w:ascii="仿宋" w:hAnsi="仿宋" w:eastAsia="仿宋" w:cs="宋体"/>
          <w:kern w:val="0"/>
          <w:sz w:val="32"/>
          <w:szCs w:val="32"/>
          <w:lang w:eastAsia="zh-CN"/>
        </w:rPr>
        <w:t>单位</w:t>
      </w:r>
      <w:r>
        <w:rPr>
          <w:rFonts w:hint="eastAsia" w:ascii="仿宋" w:hAnsi="仿宋" w:eastAsia="仿宋" w:cs="宋体"/>
          <w:kern w:val="0"/>
          <w:sz w:val="32"/>
          <w:szCs w:val="32"/>
        </w:rPr>
        <w:t>基本情况</w:t>
      </w:r>
    </w:p>
    <w:p w14:paraId="450E7CCC">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2021</w:t>
      </w:r>
      <w:r>
        <w:rPr>
          <w:rFonts w:hint="eastAsia" w:ascii="黑体" w:hAnsi="黑体" w:eastAsia="黑体"/>
          <w:b/>
          <w:bCs/>
          <w:sz w:val="32"/>
          <w:szCs w:val="32"/>
        </w:rPr>
        <w:t>年度</w:t>
      </w:r>
      <w:r>
        <w:rPr>
          <w:rFonts w:hint="eastAsia" w:ascii="黑体" w:hAnsi="黑体" w:eastAsia="黑体"/>
          <w:b/>
          <w:bCs/>
          <w:sz w:val="32"/>
          <w:szCs w:val="32"/>
          <w:lang w:eastAsia="zh-CN"/>
        </w:rPr>
        <w:t>单位</w:t>
      </w:r>
      <w:r>
        <w:rPr>
          <w:rFonts w:hint="eastAsia" w:ascii="黑体" w:hAnsi="黑体" w:eastAsia="黑体"/>
          <w:b/>
          <w:bCs/>
          <w:sz w:val="32"/>
          <w:szCs w:val="32"/>
        </w:rPr>
        <w:t>决算表</w:t>
      </w:r>
    </w:p>
    <w:p w14:paraId="115D2FF6">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492212D4">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161C9B2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00EF5EAD">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15B86BE9">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6EB49348">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4DFCE4EF">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379EBA42">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6DD7C45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26FD1D7C">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469C2FCA">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2CE57E60">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b/>
          <w:sz w:val="32"/>
          <w:szCs w:val="32"/>
        </w:rPr>
        <w:t xml:space="preserve">  第三部分  </w:t>
      </w:r>
      <w:r>
        <w:rPr>
          <w:rFonts w:hint="eastAsia" w:ascii="黑体" w:hAnsi="黑体" w:eastAsia="黑体"/>
          <w:b/>
          <w:sz w:val="32"/>
          <w:szCs w:val="32"/>
          <w:lang w:eastAsia="zh-CN"/>
        </w:rPr>
        <w:t>2021</w:t>
      </w:r>
      <w:r>
        <w:rPr>
          <w:rFonts w:hint="eastAsia" w:ascii="黑体" w:hAnsi="黑体" w:eastAsia="黑体"/>
          <w:b/>
          <w:sz w:val="32"/>
          <w:szCs w:val="32"/>
        </w:rPr>
        <w:t>年度</w:t>
      </w:r>
      <w:r>
        <w:rPr>
          <w:rFonts w:hint="eastAsia" w:ascii="黑体" w:hAnsi="黑体" w:eastAsia="黑体"/>
          <w:b/>
          <w:sz w:val="32"/>
          <w:szCs w:val="32"/>
          <w:lang w:eastAsia="zh-CN"/>
        </w:rPr>
        <w:t>单位</w:t>
      </w:r>
      <w:r>
        <w:rPr>
          <w:rFonts w:hint="eastAsia" w:ascii="黑体" w:hAnsi="黑体" w:eastAsia="黑体"/>
          <w:b/>
          <w:sz w:val="32"/>
          <w:szCs w:val="32"/>
        </w:rPr>
        <w:t>决算情况说明</w:t>
      </w:r>
    </w:p>
    <w:p w14:paraId="7CCAD9DC">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3CDF4492">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25C4687A">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4EE72924">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5B6E7659">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5EEE9CE2">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729C2A4B">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202C895B">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69A317F8">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3E444D7E">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2AD69C3E">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第四部分  名词解释</w:t>
      </w:r>
    </w:p>
    <w:p w14:paraId="7C2C9A51">
      <w:pPr>
        <w:ind w:firstLine="630"/>
        <w:jc w:val="center"/>
        <w:rPr>
          <w:rFonts w:hint="eastAsia" w:ascii="宋体" w:hAnsi="宋体"/>
          <w:b/>
          <w:sz w:val="36"/>
          <w:szCs w:val="36"/>
        </w:rPr>
      </w:pPr>
    </w:p>
    <w:p w14:paraId="32098168">
      <w:pPr>
        <w:ind w:firstLine="630"/>
        <w:jc w:val="center"/>
        <w:rPr>
          <w:rFonts w:hint="eastAsia" w:ascii="宋体" w:hAnsi="宋体"/>
          <w:b/>
          <w:sz w:val="36"/>
          <w:szCs w:val="36"/>
        </w:rPr>
      </w:pPr>
    </w:p>
    <w:p w14:paraId="7AC69B95">
      <w:pPr>
        <w:ind w:firstLine="630"/>
        <w:jc w:val="center"/>
        <w:rPr>
          <w:rFonts w:hint="eastAsia" w:ascii="宋体" w:hAnsi="宋体"/>
          <w:b/>
          <w:sz w:val="36"/>
          <w:szCs w:val="36"/>
        </w:rPr>
      </w:pPr>
    </w:p>
    <w:p w14:paraId="191B84E7">
      <w:pPr>
        <w:ind w:firstLine="630"/>
        <w:jc w:val="center"/>
        <w:rPr>
          <w:rFonts w:hint="eastAsia" w:ascii="宋体" w:hAnsi="宋体"/>
          <w:b/>
          <w:sz w:val="36"/>
          <w:szCs w:val="36"/>
        </w:rPr>
      </w:pPr>
    </w:p>
    <w:p w14:paraId="19AD08D6">
      <w:pPr>
        <w:ind w:firstLine="630"/>
        <w:jc w:val="center"/>
        <w:rPr>
          <w:rFonts w:hint="eastAsia" w:ascii="宋体" w:hAnsi="宋体"/>
          <w:b/>
          <w:sz w:val="36"/>
          <w:szCs w:val="36"/>
        </w:rPr>
      </w:pPr>
    </w:p>
    <w:p w14:paraId="1A2CE181">
      <w:pPr>
        <w:ind w:firstLine="630"/>
        <w:jc w:val="center"/>
        <w:rPr>
          <w:rFonts w:hint="eastAsia" w:ascii="宋体" w:hAnsi="宋体"/>
          <w:b/>
          <w:sz w:val="36"/>
          <w:szCs w:val="36"/>
        </w:rPr>
      </w:pPr>
    </w:p>
    <w:p w14:paraId="33DF5797">
      <w:pPr>
        <w:ind w:firstLine="630"/>
        <w:jc w:val="center"/>
        <w:rPr>
          <w:rFonts w:hint="eastAsia" w:ascii="宋体" w:hAnsi="宋体"/>
          <w:b/>
          <w:sz w:val="36"/>
          <w:szCs w:val="36"/>
        </w:rPr>
      </w:pPr>
    </w:p>
    <w:p w14:paraId="7CD3EA9C">
      <w:pPr>
        <w:ind w:firstLine="630"/>
        <w:jc w:val="center"/>
        <w:rPr>
          <w:rFonts w:hint="eastAsia" w:ascii="宋体" w:hAnsi="宋体"/>
          <w:b/>
          <w:sz w:val="36"/>
          <w:szCs w:val="36"/>
        </w:rPr>
      </w:pPr>
    </w:p>
    <w:p w14:paraId="395EC383">
      <w:pPr>
        <w:jc w:val="both"/>
        <w:rPr>
          <w:rFonts w:hint="eastAsia" w:ascii="宋体" w:hAnsi="宋体"/>
          <w:b/>
          <w:sz w:val="36"/>
          <w:szCs w:val="36"/>
        </w:rPr>
      </w:pPr>
    </w:p>
    <w:p w14:paraId="46887AD1">
      <w:pPr>
        <w:ind w:firstLine="630"/>
        <w:jc w:val="center"/>
        <w:rPr>
          <w:rFonts w:hint="eastAsia" w:ascii="宋体" w:hAnsi="宋体"/>
          <w:b/>
          <w:sz w:val="36"/>
          <w:szCs w:val="36"/>
        </w:rPr>
      </w:pPr>
    </w:p>
    <w:p w14:paraId="6BF14BDE">
      <w:pPr>
        <w:ind w:firstLine="630"/>
        <w:jc w:val="center"/>
        <w:rPr>
          <w:rFonts w:hint="eastAsia" w:ascii="宋体" w:hAnsi="宋体"/>
          <w:b/>
          <w:sz w:val="36"/>
          <w:szCs w:val="36"/>
        </w:rPr>
      </w:pPr>
    </w:p>
    <w:p w14:paraId="410F7C80">
      <w:pPr>
        <w:ind w:firstLine="630"/>
        <w:jc w:val="center"/>
        <w:rPr>
          <w:rFonts w:hint="eastAsia" w:ascii="宋体" w:hAnsi="宋体"/>
          <w:b/>
          <w:sz w:val="36"/>
          <w:szCs w:val="36"/>
        </w:rPr>
      </w:pPr>
    </w:p>
    <w:p w14:paraId="70A8D51E">
      <w:pPr>
        <w:widowControl/>
        <w:spacing w:line="580" w:lineRule="exact"/>
        <w:jc w:val="both"/>
        <w:rPr>
          <w:rFonts w:hint="eastAsia" w:ascii="宋体" w:hAnsi="宋体"/>
          <w:b/>
          <w:sz w:val="32"/>
          <w:szCs w:val="30"/>
        </w:rPr>
      </w:pPr>
    </w:p>
    <w:p w14:paraId="10283395">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0"/>
          <w:lang w:eastAsia="zh-CN"/>
        </w:rPr>
        <w:t>市烈士陵园管理所</w:t>
      </w:r>
      <w:r>
        <w:rPr>
          <w:rFonts w:hint="eastAsia" w:ascii="宋体" w:hAnsi="宋体"/>
          <w:b/>
          <w:sz w:val="32"/>
          <w:szCs w:val="30"/>
        </w:rPr>
        <w:t>概况</w:t>
      </w:r>
    </w:p>
    <w:p w14:paraId="757E3995">
      <w:pPr>
        <w:ind w:firstLine="630"/>
        <w:jc w:val="center"/>
        <w:rPr>
          <w:rFonts w:hint="eastAsia"/>
          <w:sz w:val="32"/>
          <w:szCs w:val="32"/>
        </w:rPr>
      </w:pPr>
    </w:p>
    <w:p w14:paraId="7E0BF9EC">
      <w:pPr>
        <w:ind w:firstLine="630"/>
        <w:jc w:val="left"/>
        <w:rPr>
          <w:rFonts w:hint="eastAsia" w:ascii="黑体" w:hAnsi="黑体" w:eastAsia="黑体"/>
          <w:sz w:val="30"/>
          <w:szCs w:val="30"/>
        </w:rPr>
      </w:pPr>
      <w:r>
        <w:rPr>
          <w:rFonts w:hint="eastAsia" w:ascii="黑体" w:hAnsi="黑体" w:eastAsia="黑体"/>
          <w:sz w:val="30"/>
          <w:szCs w:val="30"/>
        </w:rPr>
        <w:t>一、</w:t>
      </w:r>
      <w:r>
        <w:rPr>
          <w:rFonts w:hint="eastAsia" w:ascii="黑体" w:hAnsi="黑体" w:eastAsia="黑体"/>
          <w:sz w:val="30"/>
          <w:szCs w:val="30"/>
          <w:lang w:eastAsia="zh-CN"/>
        </w:rPr>
        <w:t>单位</w:t>
      </w:r>
      <w:r>
        <w:rPr>
          <w:rFonts w:hint="eastAsia" w:ascii="黑体" w:hAnsi="黑体" w:eastAsia="黑体"/>
          <w:sz w:val="30"/>
          <w:szCs w:val="30"/>
        </w:rPr>
        <w:t>主要职能</w:t>
      </w:r>
    </w:p>
    <w:p w14:paraId="5120AE7B">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一</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负责革命烈士的褒扬工作；</w:t>
      </w:r>
    </w:p>
    <w:p w14:paraId="0A809E4C">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二</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负责陵园建筑物的日常维护与维修工作；</w:t>
      </w:r>
    </w:p>
    <w:p w14:paraId="28AF233F">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三）</w:t>
      </w:r>
      <w:r>
        <w:rPr>
          <w:rFonts w:hint="eastAsia" w:ascii="仿宋" w:hAnsi="仿宋" w:eastAsia="仿宋" w:cs="宋体"/>
          <w:b w:val="0"/>
          <w:bCs w:val="0"/>
          <w:kern w:val="0"/>
          <w:sz w:val="32"/>
          <w:szCs w:val="32"/>
        </w:rPr>
        <w:t>负责建立完善烈士档案；</w:t>
      </w:r>
    </w:p>
    <w:p w14:paraId="353A6B9D">
      <w:pPr>
        <w:ind w:firstLine="640" w:firstLineChars="200"/>
        <w:rPr>
          <w:rFonts w:hint="eastAsia" w:ascii="仿宋" w:hAnsi="仿宋" w:eastAsia="仿宋" w:cs="宋体"/>
          <w:b w:val="0"/>
          <w:bCs w:val="0"/>
          <w:kern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四</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负责为社会各界及烈士亲属祭扫活动提供服务，充分发挥爱国主义及青少年教育地的作用；</w:t>
      </w:r>
    </w:p>
    <w:p w14:paraId="1A362C41">
      <w:pPr>
        <w:ind w:firstLine="640" w:firstLineChars="200"/>
        <w:rPr>
          <w:rFonts w:hint="eastAsia" w:ascii="仿宋_GB2312" w:hAnsi="仿宋" w:eastAsia="仿宋_GB2312"/>
          <w:b w:val="0"/>
          <w:bCs w:val="0"/>
          <w:sz w:val="32"/>
          <w:szCs w:val="32"/>
        </w:rPr>
      </w:pP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lang w:val="en-US" w:eastAsia="zh-CN"/>
        </w:rPr>
        <w:t>五</w:t>
      </w:r>
      <w:r>
        <w:rPr>
          <w:rFonts w:hint="eastAsia" w:ascii="仿宋" w:hAnsi="仿宋" w:eastAsia="仿宋" w:cs="宋体"/>
          <w:b w:val="0"/>
          <w:bCs w:val="0"/>
          <w:kern w:val="0"/>
          <w:sz w:val="32"/>
          <w:szCs w:val="32"/>
          <w:lang w:eastAsia="zh-CN"/>
        </w:rPr>
        <w:t>）</w:t>
      </w:r>
      <w:r>
        <w:rPr>
          <w:rFonts w:hint="eastAsia" w:ascii="仿宋" w:hAnsi="仿宋" w:eastAsia="仿宋" w:cs="宋体"/>
          <w:b w:val="0"/>
          <w:bCs w:val="0"/>
          <w:kern w:val="0"/>
          <w:sz w:val="32"/>
          <w:szCs w:val="32"/>
        </w:rPr>
        <w:t>负责园区内卫生、环境绿化和安全保卫工作。</w:t>
      </w:r>
    </w:p>
    <w:p w14:paraId="377D26A6">
      <w:pPr>
        <w:ind w:firstLine="630"/>
        <w:jc w:val="left"/>
        <w:rPr>
          <w:rFonts w:hint="eastAsia" w:ascii="黑体" w:hAnsi="黑体" w:eastAsia="黑体"/>
          <w:sz w:val="30"/>
          <w:szCs w:val="30"/>
        </w:rPr>
      </w:pPr>
      <w:r>
        <w:rPr>
          <w:rFonts w:hint="eastAsia" w:ascii="黑体" w:hAnsi="黑体" w:eastAsia="黑体"/>
          <w:sz w:val="30"/>
          <w:szCs w:val="30"/>
        </w:rPr>
        <w:t>二、</w:t>
      </w:r>
      <w:r>
        <w:rPr>
          <w:rFonts w:hint="eastAsia" w:ascii="黑体" w:hAnsi="黑体" w:eastAsia="黑体"/>
          <w:sz w:val="30"/>
          <w:szCs w:val="30"/>
          <w:lang w:eastAsia="zh-CN"/>
        </w:rPr>
        <w:t>单位</w:t>
      </w:r>
      <w:r>
        <w:rPr>
          <w:rFonts w:hint="eastAsia" w:ascii="黑体" w:hAnsi="黑体" w:eastAsia="黑体"/>
          <w:sz w:val="30"/>
          <w:szCs w:val="30"/>
        </w:rPr>
        <w:t>基本情况</w:t>
      </w:r>
    </w:p>
    <w:p w14:paraId="08902E4A">
      <w:pPr>
        <w:ind w:firstLine="630"/>
        <w:jc w:val="left"/>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本单位设立1个内设机构，是</w:t>
      </w:r>
      <w:r>
        <w:rPr>
          <w:rFonts w:hint="eastAsia" w:ascii="仿宋_GB2312" w:hAnsi="仿宋_GB2312" w:eastAsia="仿宋_GB2312" w:cs="Times New Roman"/>
          <w:color w:val="auto"/>
          <w:sz w:val="32"/>
          <w:szCs w:val="32"/>
          <w:lang w:val="en-US" w:eastAsia="zh-CN"/>
        </w:rPr>
        <w:t>综合股。</w:t>
      </w:r>
    </w:p>
    <w:p w14:paraId="26C1F3B2">
      <w:pPr>
        <w:ind w:firstLine="630"/>
        <w:jc w:val="left"/>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本</w:t>
      </w:r>
      <w:r>
        <w:rPr>
          <w:rFonts w:hint="eastAsia" w:ascii="仿宋_GB2312" w:hAnsi="仿宋_GB2312" w:eastAsia="仿宋_GB2312"/>
          <w:color w:val="auto"/>
          <w:sz w:val="32"/>
          <w:szCs w:val="32"/>
          <w:lang w:val="en-US" w:eastAsia="zh-CN"/>
        </w:rPr>
        <w:t>单位</w:t>
      </w:r>
      <w:r>
        <w:rPr>
          <w:rFonts w:hint="eastAsia" w:ascii="仿宋_GB2312" w:hAnsi="仿宋_GB2312" w:eastAsia="仿宋_GB2312"/>
          <w:color w:val="auto"/>
          <w:sz w:val="32"/>
          <w:szCs w:val="32"/>
        </w:rPr>
        <w:t>202</w:t>
      </w:r>
      <w:r>
        <w:rPr>
          <w:rFonts w:hint="eastAsia" w:ascii="仿宋_GB2312" w:hAnsi="仿宋_GB2312" w:eastAsia="仿宋_GB2312"/>
          <w:color w:val="auto"/>
          <w:sz w:val="32"/>
          <w:szCs w:val="32"/>
          <w:lang w:val="en-US" w:eastAsia="zh-CN"/>
        </w:rPr>
        <w:t>1</w:t>
      </w:r>
      <w:r>
        <w:rPr>
          <w:rFonts w:hint="eastAsia" w:ascii="仿宋_GB2312" w:hAnsi="仿宋_GB2312" w:eastAsia="仿宋_GB2312"/>
          <w:color w:val="auto"/>
          <w:sz w:val="32"/>
          <w:szCs w:val="32"/>
        </w:rPr>
        <w:t>年年末实有人数</w:t>
      </w:r>
      <w:r>
        <w:rPr>
          <w:rFonts w:hint="eastAsia" w:ascii="仿宋_GB2312" w:hAnsi="仿宋_GB2312" w:eastAsia="仿宋_GB2312"/>
          <w:color w:val="auto"/>
          <w:sz w:val="32"/>
          <w:szCs w:val="32"/>
          <w:lang w:val="en-US" w:eastAsia="zh-CN"/>
        </w:rPr>
        <w:t>3</w:t>
      </w:r>
      <w:r>
        <w:rPr>
          <w:rFonts w:hint="eastAsia" w:ascii="仿宋_GB2312" w:hAnsi="仿宋_GB2312" w:eastAsia="仿宋_GB2312"/>
          <w:color w:val="auto"/>
          <w:sz w:val="32"/>
          <w:szCs w:val="32"/>
        </w:rPr>
        <w:t>人，其中在职人员</w:t>
      </w:r>
      <w:r>
        <w:rPr>
          <w:rFonts w:hint="eastAsia" w:ascii="仿宋_GB2312" w:hAnsi="仿宋_GB2312" w:eastAsia="仿宋_GB2312"/>
          <w:color w:val="auto"/>
          <w:sz w:val="32"/>
          <w:szCs w:val="32"/>
          <w:lang w:val="en-US" w:eastAsia="zh-CN"/>
        </w:rPr>
        <w:t>3</w:t>
      </w:r>
      <w:r>
        <w:rPr>
          <w:rFonts w:hint="eastAsia" w:ascii="仿宋_GB2312" w:hAnsi="仿宋_GB2312" w:eastAsia="仿宋_GB2312"/>
          <w:color w:val="auto"/>
          <w:sz w:val="32"/>
          <w:szCs w:val="32"/>
        </w:rPr>
        <w:t>人，离休人员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lang w:val="en-US" w:eastAsia="zh-CN"/>
        </w:rPr>
        <w:t>不含</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；年末其他人员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人；年末学生人数</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4E82E42D">
      <w:pPr>
        <w:ind w:firstLine="630"/>
        <w:jc w:val="left"/>
        <w:rPr>
          <w:rFonts w:hint="eastAsia" w:ascii="仿宋" w:hAnsi="仿宋" w:eastAsia="仿宋"/>
          <w:sz w:val="30"/>
          <w:szCs w:val="30"/>
          <w:lang w:val="en-US" w:eastAsia="zh-CN"/>
        </w:rPr>
      </w:pPr>
    </w:p>
    <w:p w14:paraId="6C9D221F">
      <w:pPr>
        <w:widowControl/>
        <w:numPr>
          <w:ilvl w:val="0"/>
          <w:numId w:val="0"/>
        </w:numPr>
        <w:spacing w:line="600" w:lineRule="exact"/>
        <w:jc w:val="both"/>
        <w:rPr>
          <w:rFonts w:hint="eastAsia" w:ascii="宋体" w:hAnsi="宋体"/>
          <w:b/>
          <w:sz w:val="32"/>
          <w:szCs w:val="32"/>
        </w:rPr>
      </w:pPr>
    </w:p>
    <w:p w14:paraId="7CD7ABF1">
      <w:pPr>
        <w:pStyle w:val="2"/>
        <w:rPr>
          <w:rFonts w:hint="eastAsia" w:ascii="宋体" w:hAnsi="宋体"/>
          <w:b/>
          <w:sz w:val="32"/>
          <w:szCs w:val="32"/>
        </w:rPr>
      </w:pPr>
    </w:p>
    <w:p w14:paraId="2536FD7D">
      <w:pPr>
        <w:pStyle w:val="2"/>
        <w:rPr>
          <w:rFonts w:hint="eastAsia" w:ascii="宋体" w:hAnsi="宋体"/>
          <w:b/>
          <w:sz w:val="32"/>
          <w:szCs w:val="32"/>
        </w:rPr>
      </w:pPr>
    </w:p>
    <w:p w14:paraId="00125024">
      <w:pPr>
        <w:pStyle w:val="2"/>
        <w:rPr>
          <w:rFonts w:hint="eastAsia" w:ascii="宋体" w:hAnsi="宋体"/>
          <w:b/>
          <w:sz w:val="32"/>
          <w:szCs w:val="32"/>
        </w:rPr>
      </w:pPr>
    </w:p>
    <w:p w14:paraId="20F6F35C">
      <w:pPr>
        <w:pStyle w:val="2"/>
        <w:rPr>
          <w:rFonts w:hint="eastAsia" w:ascii="宋体" w:hAnsi="宋体"/>
          <w:b/>
          <w:sz w:val="32"/>
          <w:szCs w:val="32"/>
        </w:rPr>
      </w:pPr>
    </w:p>
    <w:p w14:paraId="18BBA0E8">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eastAsia="zh-CN"/>
        </w:rPr>
        <w:t>单位</w:t>
      </w:r>
      <w:r>
        <w:rPr>
          <w:rFonts w:hint="eastAsia" w:ascii="宋体" w:hAnsi="宋体"/>
          <w:b/>
          <w:sz w:val="32"/>
          <w:szCs w:val="32"/>
        </w:rPr>
        <w:t>决算表</w:t>
      </w:r>
    </w:p>
    <w:p w14:paraId="3AFEF349">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040" cy="5299075"/>
            <wp:effectExtent l="0" t="0" r="3810" b="15875"/>
            <wp:docPr id="2" name="图片 2" descr="1664346419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64346419060"/>
                    <pic:cNvPicPr>
                      <a:picLocks noChangeAspect="1"/>
                    </pic:cNvPicPr>
                  </pic:nvPicPr>
                  <pic:blipFill>
                    <a:blip r:embed="rId4"/>
                    <a:stretch>
                      <a:fillRect/>
                    </a:stretch>
                  </pic:blipFill>
                  <pic:spPr>
                    <a:xfrm>
                      <a:off x="0" y="0"/>
                      <a:ext cx="5273040" cy="5299075"/>
                    </a:xfrm>
                    <a:prstGeom prst="rect">
                      <a:avLst/>
                    </a:prstGeom>
                  </pic:spPr>
                </pic:pic>
              </a:graphicData>
            </a:graphic>
          </wp:inline>
        </w:drawing>
      </w:r>
    </w:p>
    <w:p w14:paraId="4A6D6AE6">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8595" cy="1904365"/>
            <wp:effectExtent l="0" t="0" r="8255" b="635"/>
            <wp:docPr id="8" name="图片 8" descr="166434644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64346447016"/>
                    <pic:cNvPicPr>
                      <a:picLocks noChangeAspect="1"/>
                    </pic:cNvPicPr>
                  </pic:nvPicPr>
                  <pic:blipFill>
                    <a:blip r:embed="rId5"/>
                    <a:stretch>
                      <a:fillRect/>
                    </a:stretch>
                  </pic:blipFill>
                  <pic:spPr>
                    <a:xfrm>
                      <a:off x="0" y="0"/>
                      <a:ext cx="5268595" cy="1904365"/>
                    </a:xfrm>
                    <a:prstGeom prst="rect">
                      <a:avLst/>
                    </a:prstGeom>
                  </pic:spPr>
                </pic:pic>
              </a:graphicData>
            </a:graphic>
          </wp:inline>
        </w:drawing>
      </w:r>
    </w:p>
    <w:p w14:paraId="562BBC04">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0500" cy="2775585"/>
            <wp:effectExtent l="0" t="0" r="6350" b="5715"/>
            <wp:docPr id="10" name="图片 10" descr="166434646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64346467585"/>
                    <pic:cNvPicPr>
                      <a:picLocks noChangeAspect="1"/>
                    </pic:cNvPicPr>
                  </pic:nvPicPr>
                  <pic:blipFill>
                    <a:blip r:embed="rId6"/>
                    <a:stretch>
                      <a:fillRect/>
                    </a:stretch>
                  </pic:blipFill>
                  <pic:spPr>
                    <a:xfrm>
                      <a:off x="0" y="0"/>
                      <a:ext cx="5270500" cy="2775585"/>
                    </a:xfrm>
                    <a:prstGeom prst="rect">
                      <a:avLst/>
                    </a:prstGeom>
                  </pic:spPr>
                </pic:pic>
              </a:graphicData>
            </a:graphic>
          </wp:inline>
        </w:drawing>
      </w:r>
    </w:p>
    <w:p w14:paraId="53FC4CF6">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4310" cy="3855085"/>
            <wp:effectExtent l="0" t="0" r="2540" b="12065"/>
            <wp:docPr id="13" name="图片 13" descr="1664346489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64346489195"/>
                    <pic:cNvPicPr>
                      <a:picLocks noChangeAspect="1"/>
                    </pic:cNvPicPr>
                  </pic:nvPicPr>
                  <pic:blipFill>
                    <a:blip r:embed="rId7"/>
                    <a:stretch>
                      <a:fillRect/>
                    </a:stretch>
                  </pic:blipFill>
                  <pic:spPr>
                    <a:xfrm>
                      <a:off x="0" y="0"/>
                      <a:ext cx="5274310" cy="3855085"/>
                    </a:xfrm>
                    <a:prstGeom prst="rect">
                      <a:avLst/>
                    </a:prstGeom>
                  </pic:spPr>
                </pic:pic>
              </a:graphicData>
            </a:graphic>
          </wp:inline>
        </w:drawing>
      </w:r>
    </w:p>
    <w:p w14:paraId="2BD2AAE2">
      <w:pPr>
        <w:autoSpaceDE w:val="0"/>
        <w:autoSpaceDN w:val="0"/>
        <w:adjustRightInd w:val="0"/>
        <w:spacing w:line="360" w:lineRule="auto"/>
        <w:jc w:val="left"/>
        <w:rPr>
          <w:rFonts w:hint="eastAsia" w:eastAsia="宋体"/>
          <w:szCs w:val="30"/>
          <w:lang w:eastAsia="zh-CN"/>
        </w:rPr>
      </w:pPr>
    </w:p>
    <w:p w14:paraId="66BF8658">
      <w:pPr>
        <w:autoSpaceDE w:val="0"/>
        <w:autoSpaceDN w:val="0"/>
        <w:adjustRightInd w:val="0"/>
        <w:spacing w:line="360" w:lineRule="auto"/>
        <w:jc w:val="left"/>
        <w:rPr>
          <w:rFonts w:hint="eastAsia" w:eastAsia="宋体"/>
          <w:szCs w:val="30"/>
          <w:lang w:eastAsia="zh-CN"/>
        </w:rPr>
      </w:pPr>
    </w:p>
    <w:p w14:paraId="0BDA5216">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3447415"/>
            <wp:effectExtent l="0" t="0" r="7620" b="635"/>
            <wp:docPr id="14" name="图片 14" descr="1664346508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64346508132"/>
                    <pic:cNvPicPr>
                      <a:picLocks noChangeAspect="1"/>
                    </pic:cNvPicPr>
                  </pic:nvPicPr>
                  <pic:blipFill>
                    <a:blip r:embed="rId8"/>
                    <a:stretch>
                      <a:fillRect/>
                    </a:stretch>
                  </pic:blipFill>
                  <pic:spPr>
                    <a:xfrm>
                      <a:off x="0" y="0"/>
                      <a:ext cx="5269230" cy="3447415"/>
                    </a:xfrm>
                    <a:prstGeom prst="rect">
                      <a:avLst/>
                    </a:prstGeom>
                  </pic:spPr>
                </pic:pic>
              </a:graphicData>
            </a:graphic>
          </wp:inline>
        </w:drawing>
      </w:r>
    </w:p>
    <w:p w14:paraId="43EE8F04">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6690" cy="8178800"/>
            <wp:effectExtent l="0" t="0" r="10160" b="12700"/>
            <wp:docPr id="15" name="图片 15" descr="166434653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64346533331"/>
                    <pic:cNvPicPr>
                      <a:picLocks noChangeAspect="1"/>
                    </pic:cNvPicPr>
                  </pic:nvPicPr>
                  <pic:blipFill>
                    <a:blip r:embed="rId9"/>
                    <a:stretch>
                      <a:fillRect/>
                    </a:stretch>
                  </pic:blipFill>
                  <pic:spPr>
                    <a:xfrm>
                      <a:off x="0" y="0"/>
                      <a:ext cx="5266690" cy="8178800"/>
                    </a:xfrm>
                    <a:prstGeom prst="rect">
                      <a:avLst/>
                    </a:prstGeom>
                  </pic:spPr>
                </pic:pic>
              </a:graphicData>
            </a:graphic>
          </wp:inline>
        </w:drawing>
      </w:r>
    </w:p>
    <w:p w14:paraId="5EC1EEA2">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770" cy="4824095"/>
            <wp:effectExtent l="0" t="0" r="5080" b="14605"/>
            <wp:docPr id="17" name="图片 17" descr="1664346614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664346614336"/>
                    <pic:cNvPicPr>
                      <a:picLocks noChangeAspect="1"/>
                    </pic:cNvPicPr>
                  </pic:nvPicPr>
                  <pic:blipFill>
                    <a:blip r:embed="rId10"/>
                    <a:stretch>
                      <a:fillRect/>
                    </a:stretch>
                  </pic:blipFill>
                  <pic:spPr>
                    <a:xfrm>
                      <a:off x="0" y="0"/>
                      <a:ext cx="5271770" cy="4824095"/>
                    </a:xfrm>
                    <a:prstGeom prst="rect">
                      <a:avLst/>
                    </a:prstGeom>
                  </pic:spPr>
                </pic:pic>
              </a:graphicData>
            </a:graphic>
          </wp:inline>
        </w:drawing>
      </w:r>
    </w:p>
    <w:p w14:paraId="7E6E3498">
      <w:pPr>
        <w:pStyle w:val="2"/>
        <w:rPr>
          <w:rFonts w:hint="eastAsia"/>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w:t>
      </w:r>
      <w:r>
        <w:rPr>
          <w:rFonts w:hint="eastAsia"/>
          <w:szCs w:val="30"/>
          <w:lang w:val="en-US" w:eastAsia="zh-CN"/>
        </w:rPr>
        <w:t>三公</w:t>
      </w:r>
      <w:r>
        <w:rPr>
          <w:rFonts w:hint="eastAsia"/>
          <w:szCs w:val="30"/>
          <w:lang w:eastAsia="zh-CN"/>
        </w:rPr>
        <w:t>”</w:t>
      </w:r>
      <w:r>
        <w:rPr>
          <w:rFonts w:hint="eastAsia"/>
          <w:szCs w:val="30"/>
          <w:lang w:val="en-US" w:eastAsia="zh-CN"/>
        </w:rPr>
        <w:t>经费支出情况</w:t>
      </w:r>
    </w:p>
    <w:p w14:paraId="4665FF68">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6690" cy="1831340"/>
            <wp:effectExtent l="0" t="0" r="10160" b="16510"/>
            <wp:docPr id="18" name="图片 18" descr="16643466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64346687624"/>
                    <pic:cNvPicPr>
                      <a:picLocks noChangeAspect="1"/>
                    </pic:cNvPicPr>
                  </pic:nvPicPr>
                  <pic:blipFill>
                    <a:blip r:embed="rId11"/>
                    <a:stretch>
                      <a:fillRect/>
                    </a:stretch>
                  </pic:blipFill>
                  <pic:spPr>
                    <a:xfrm>
                      <a:off x="0" y="0"/>
                      <a:ext cx="5266690" cy="1831340"/>
                    </a:xfrm>
                    <a:prstGeom prst="rect">
                      <a:avLst/>
                    </a:prstGeom>
                  </pic:spPr>
                </pic:pic>
              </a:graphicData>
            </a:graphic>
          </wp:inline>
        </w:drawing>
      </w:r>
    </w:p>
    <w:p w14:paraId="09FF4B57">
      <w:pPr>
        <w:pStyle w:val="2"/>
        <w:rPr>
          <w:rFonts w:hint="eastAsia"/>
          <w:szCs w:val="30"/>
          <w:lang w:val="en-US"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24086B50">
      <w:pPr>
        <w:pStyle w:val="2"/>
        <w:rPr>
          <w:rFonts w:hint="eastAsia"/>
          <w:szCs w:val="30"/>
          <w:lang w:val="en-US" w:eastAsia="zh-CN"/>
        </w:rPr>
      </w:pPr>
    </w:p>
    <w:p w14:paraId="5B88548C">
      <w:pPr>
        <w:autoSpaceDE w:val="0"/>
        <w:autoSpaceDN w:val="0"/>
        <w:adjustRightInd w:val="0"/>
        <w:spacing w:line="360" w:lineRule="auto"/>
        <w:jc w:val="left"/>
        <w:rPr>
          <w:rFonts w:hint="default" w:eastAsia="宋体"/>
          <w:szCs w:val="22"/>
          <w:lang w:val="en-US" w:eastAsia="zh-CN"/>
        </w:rPr>
      </w:pPr>
      <w:r>
        <w:rPr>
          <w:rFonts w:hint="default" w:eastAsia="宋体"/>
          <w:szCs w:val="22"/>
          <w:lang w:val="en-US" w:eastAsia="zh-CN"/>
        </w:rPr>
        <w:drawing>
          <wp:inline distT="0" distB="0" distL="114300" distR="114300">
            <wp:extent cx="5272405" cy="2749550"/>
            <wp:effectExtent l="0" t="0" r="4445" b="12700"/>
            <wp:docPr id="19" name="图片 19" descr="166434672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64346722231"/>
                    <pic:cNvPicPr>
                      <a:picLocks noChangeAspect="1"/>
                    </pic:cNvPicPr>
                  </pic:nvPicPr>
                  <pic:blipFill>
                    <a:blip r:embed="rId12"/>
                    <a:stretch>
                      <a:fillRect/>
                    </a:stretch>
                  </pic:blipFill>
                  <pic:spPr>
                    <a:xfrm>
                      <a:off x="0" y="0"/>
                      <a:ext cx="5272405" cy="2749550"/>
                    </a:xfrm>
                    <a:prstGeom prst="rect">
                      <a:avLst/>
                    </a:prstGeom>
                  </pic:spPr>
                </pic:pic>
              </a:graphicData>
            </a:graphic>
          </wp:inline>
        </w:drawing>
      </w:r>
    </w:p>
    <w:p w14:paraId="013BB78D">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59DB6178">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3227705"/>
            <wp:effectExtent l="0" t="0" r="7620" b="10795"/>
            <wp:docPr id="20" name="图片 20" descr="166434675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64346750527"/>
                    <pic:cNvPicPr>
                      <a:picLocks noChangeAspect="1"/>
                    </pic:cNvPicPr>
                  </pic:nvPicPr>
                  <pic:blipFill>
                    <a:blip r:embed="rId13"/>
                    <a:stretch>
                      <a:fillRect/>
                    </a:stretch>
                  </pic:blipFill>
                  <pic:spPr>
                    <a:xfrm>
                      <a:off x="0" y="0"/>
                      <a:ext cx="5269230" cy="3227705"/>
                    </a:xfrm>
                    <a:prstGeom prst="rect">
                      <a:avLst/>
                    </a:prstGeom>
                  </pic:spPr>
                </pic:pic>
              </a:graphicData>
            </a:graphic>
          </wp:inline>
        </w:drawing>
      </w:r>
    </w:p>
    <w:p w14:paraId="7AA96C63">
      <w:pPr>
        <w:autoSpaceDE w:val="0"/>
        <w:autoSpaceDN w:val="0"/>
        <w:adjustRightInd w:val="0"/>
        <w:spacing w:line="360" w:lineRule="auto"/>
        <w:jc w:val="left"/>
        <w:rPr>
          <w:rFonts w:hint="eastAsia"/>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1CF02B9B">
      <w:pPr>
        <w:pStyle w:val="2"/>
        <w:rPr>
          <w:rFonts w:hint="eastAsia"/>
          <w:szCs w:val="22"/>
          <w:lang w:val="en-US" w:eastAsia="zh-CN"/>
        </w:rPr>
      </w:pPr>
    </w:p>
    <w:p w14:paraId="6B301241">
      <w:pPr>
        <w:pStyle w:val="2"/>
        <w:rPr>
          <w:rFonts w:hint="eastAsia"/>
          <w:szCs w:val="22"/>
          <w:lang w:val="en-US" w:eastAsia="zh-CN"/>
        </w:rPr>
      </w:pPr>
    </w:p>
    <w:p w14:paraId="5C35E244">
      <w:pPr>
        <w:pStyle w:val="2"/>
        <w:rPr>
          <w:rFonts w:hint="eastAsia"/>
          <w:szCs w:val="22"/>
          <w:lang w:val="en-US" w:eastAsia="zh-CN"/>
        </w:rPr>
      </w:pPr>
    </w:p>
    <w:p w14:paraId="73F4BE8C">
      <w:pPr>
        <w:pStyle w:val="2"/>
        <w:rPr>
          <w:rFonts w:hint="eastAsia"/>
          <w:szCs w:val="22"/>
          <w:lang w:val="en-US" w:eastAsia="zh-CN"/>
        </w:rPr>
      </w:pPr>
    </w:p>
    <w:p w14:paraId="159B921C">
      <w:pPr>
        <w:pStyle w:val="2"/>
        <w:rPr>
          <w:rFonts w:hint="eastAsia"/>
          <w:szCs w:val="22"/>
          <w:lang w:val="en-US" w:eastAsia="zh-CN"/>
        </w:rPr>
      </w:pPr>
    </w:p>
    <w:p w14:paraId="131A32EA">
      <w:pPr>
        <w:pStyle w:val="2"/>
        <w:rPr>
          <w:rFonts w:hint="eastAsia"/>
          <w:szCs w:val="22"/>
          <w:lang w:val="en-US" w:eastAsia="zh-CN"/>
        </w:rPr>
      </w:pPr>
    </w:p>
    <w:p w14:paraId="30986391">
      <w:pPr>
        <w:pStyle w:val="2"/>
        <w:rPr>
          <w:rFonts w:hint="eastAsia"/>
          <w:szCs w:val="22"/>
          <w:lang w:val="en-US" w:eastAsia="zh-CN"/>
        </w:rPr>
      </w:pPr>
    </w:p>
    <w:p w14:paraId="2E0CFD35">
      <w:pPr>
        <w:pStyle w:val="2"/>
        <w:rPr>
          <w:rFonts w:hint="eastAsia"/>
          <w:szCs w:val="22"/>
          <w:lang w:val="en-US" w:eastAsia="zh-CN"/>
        </w:rPr>
      </w:pPr>
    </w:p>
    <w:p w14:paraId="013DAB22">
      <w:pPr>
        <w:pStyle w:val="2"/>
        <w:rPr>
          <w:rFonts w:hint="eastAsia"/>
          <w:szCs w:val="22"/>
          <w:lang w:val="en-US" w:eastAsia="zh-CN"/>
        </w:rPr>
      </w:pPr>
    </w:p>
    <w:p w14:paraId="00A6B6E3">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eastAsia="zh-CN"/>
        </w:rPr>
        <w:t>单位</w:t>
      </w:r>
      <w:r>
        <w:rPr>
          <w:rFonts w:hint="eastAsia" w:ascii="宋体" w:hAnsi="宋体"/>
          <w:b/>
          <w:sz w:val="32"/>
          <w:szCs w:val="32"/>
        </w:rPr>
        <w:t>决算情况说明</w:t>
      </w:r>
    </w:p>
    <w:p w14:paraId="2474A66B">
      <w:pPr>
        <w:ind w:firstLine="630"/>
        <w:jc w:val="left"/>
        <w:rPr>
          <w:rFonts w:hint="eastAsia" w:ascii="仿宋" w:hAnsi="仿宋" w:eastAsia="仿宋"/>
          <w:sz w:val="30"/>
          <w:szCs w:val="30"/>
        </w:rPr>
      </w:pPr>
    </w:p>
    <w:p w14:paraId="25667CAF">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0452802B">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年度收入总计</w:t>
      </w:r>
      <w:r>
        <w:rPr>
          <w:rFonts w:hint="eastAsia" w:ascii="仿宋" w:hAnsi="仿宋" w:eastAsia="仿宋"/>
          <w:sz w:val="30"/>
          <w:szCs w:val="30"/>
          <w:lang w:val="en-US" w:eastAsia="zh-CN"/>
        </w:rPr>
        <w:t>52.7</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22.24</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4.56</w:t>
      </w:r>
      <w:r>
        <w:rPr>
          <w:rFonts w:hint="eastAsia" w:ascii="仿宋" w:hAnsi="仿宋" w:eastAsia="仿宋"/>
          <w:sz w:val="30"/>
          <w:szCs w:val="30"/>
        </w:rPr>
        <w:t>万元，增长</w:t>
      </w:r>
      <w:r>
        <w:rPr>
          <w:rFonts w:hint="eastAsia" w:ascii="仿宋" w:hAnsi="仿宋" w:eastAsia="仿宋"/>
          <w:sz w:val="30"/>
          <w:szCs w:val="30"/>
          <w:lang w:val="en-US" w:eastAsia="zh-CN"/>
        </w:rPr>
        <w:t>10.08</w:t>
      </w:r>
      <w:r>
        <w:rPr>
          <w:rFonts w:hint="eastAsia" w:ascii="仿宋" w:hAnsi="仿宋" w:eastAsia="仿宋"/>
          <w:sz w:val="30"/>
          <w:szCs w:val="30"/>
        </w:rPr>
        <w:t>%；本年收入合计</w:t>
      </w:r>
      <w:r>
        <w:rPr>
          <w:rFonts w:hint="eastAsia" w:ascii="仿宋" w:hAnsi="仿宋" w:eastAsia="仿宋"/>
          <w:sz w:val="30"/>
          <w:szCs w:val="30"/>
          <w:lang w:val="en-US" w:eastAsia="zh-CN"/>
        </w:rPr>
        <w:t>30.45</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减少14.79</w:t>
      </w:r>
      <w:r>
        <w:rPr>
          <w:rFonts w:hint="eastAsia" w:ascii="仿宋" w:hAnsi="仿宋" w:eastAsia="仿宋"/>
          <w:sz w:val="30"/>
          <w:szCs w:val="30"/>
        </w:rPr>
        <w:t>万元，</w:t>
      </w:r>
      <w:r>
        <w:rPr>
          <w:rFonts w:hint="eastAsia" w:ascii="仿宋" w:hAnsi="仿宋" w:eastAsia="仿宋"/>
          <w:sz w:val="30"/>
          <w:szCs w:val="30"/>
          <w:lang w:val="en-US" w:eastAsia="zh-CN"/>
        </w:rPr>
        <w:t>下降32.69</w:t>
      </w:r>
      <w:r>
        <w:rPr>
          <w:rFonts w:hint="eastAsia" w:ascii="仿宋" w:hAnsi="仿宋" w:eastAsia="仿宋"/>
          <w:sz w:val="30"/>
          <w:szCs w:val="30"/>
        </w:rPr>
        <w:t>%，主要原因是：</w:t>
      </w:r>
      <w:r>
        <w:rPr>
          <w:rFonts w:hint="eastAsia" w:ascii="仿宋" w:hAnsi="仿宋" w:eastAsia="仿宋"/>
          <w:sz w:val="30"/>
          <w:szCs w:val="30"/>
          <w:lang w:val="en-US" w:eastAsia="zh-CN"/>
        </w:rPr>
        <w:t>其他收入减少。</w:t>
      </w:r>
    </w:p>
    <w:p w14:paraId="370380A7">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30.45</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14:paraId="46FEB3DD">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040F7E6F">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年度支出总计</w:t>
      </w:r>
      <w:r>
        <w:rPr>
          <w:rFonts w:hint="eastAsia" w:ascii="仿宋" w:hAnsi="仿宋" w:eastAsia="仿宋"/>
          <w:sz w:val="30"/>
          <w:szCs w:val="30"/>
          <w:lang w:val="en-US" w:eastAsia="zh-CN"/>
        </w:rPr>
        <w:t>52.7</w:t>
      </w:r>
      <w:r>
        <w:rPr>
          <w:rFonts w:hint="eastAsia" w:ascii="仿宋" w:hAnsi="仿宋" w:eastAsia="仿宋"/>
          <w:sz w:val="30"/>
          <w:szCs w:val="30"/>
        </w:rPr>
        <w:t>元，其中本年支出合计</w:t>
      </w:r>
      <w:r>
        <w:rPr>
          <w:rFonts w:hint="eastAsia" w:ascii="仿宋" w:hAnsi="仿宋" w:eastAsia="仿宋"/>
          <w:sz w:val="30"/>
          <w:szCs w:val="30"/>
          <w:lang w:val="en-US" w:eastAsia="zh-CN"/>
        </w:rPr>
        <w:t>52.7</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12.02</w:t>
      </w:r>
      <w:r>
        <w:rPr>
          <w:rFonts w:hint="eastAsia" w:ascii="仿宋" w:hAnsi="仿宋" w:eastAsia="仿宋"/>
          <w:sz w:val="30"/>
          <w:szCs w:val="30"/>
        </w:rPr>
        <w:t>万元，增长</w:t>
      </w:r>
      <w:r>
        <w:rPr>
          <w:rFonts w:hint="eastAsia" w:ascii="仿宋" w:hAnsi="仿宋" w:eastAsia="仿宋"/>
          <w:sz w:val="30"/>
          <w:szCs w:val="30"/>
          <w:lang w:val="en-US" w:eastAsia="zh-CN"/>
        </w:rPr>
        <w:t>29.55</w:t>
      </w:r>
      <w:r>
        <w:rPr>
          <w:rFonts w:hint="eastAsia" w:ascii="仿宋" w:hAnsi="仿宋" w:eastAsia="仿宋"/>
          <w:sz w:val="30"/>
          <w:szCs w:val="30"/>
        </w:rPr>
        <w:t>%，主要原因是：</w:t>
      </w:r>
      <w:r>
        <w:rPr>
          <w:rFonts w:hint="eastAsia" w:ascii="仿宋" w:hAnsi="仿宋" w:eastAsia="仿宋"/>
          <w:sz w:val="30"/>
          <w:szCs w:val="30"/>
          <w:lang w:val="en-US" w:eastAsia="zh-CN"/>
        </w:rPr>
        <w:t>工资晋级晋档及单位撤并等支出</w:t>
      </w:r>
      <w:r>
        <w:rPr>
          <w:rFonts w:hint="eastAsia" w:ascii="仿宋" w:hAnsi="仿宋" w:eastAsia="仿宋"/>
          <w:sz w:val="30"/>
          <w:szCs w:val="30"/>
        </w:rPr>
        <w:t>；年末结转和结余</w:t>
      </w:r>
      <w:r>
        <w:rPr>
          <w:rFonts w:hint="eastAsia" w:ascii="仿宋" w:hAnsi="仿宋" w:eastAsia="仿宋"/>
          <w:sz w:val="30"/>
          <w:szCs w:val="30"/>
          <w:lang w:val="en-US" w:eastAsia="zh-CN"/>
        </w:rPr>
        <w:t>0</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减少22.24</w:t>
      </w:r>
      <w:r>
        <w:rPr>
          <w:rFonts w:hint="eastAsia" w:ascii="仿宋" w:hAnsi="仿宋" w:eastAsia="仿宋"/>
          <w:sz w:val="30"/>
          <w:szCs w:val="30"/>
        </w:rPr>
        <w:t>万元，</w:t>
      </w:r>
      <w:r>
        <w:rPr>
          <w:rFonts w:hint="eastAsia" w:ascii="仿宋" w:hAnsi="仿宋" w:eastAsia="仿宋"/>
          <w:sz w:val="30"/>
          <w:szCs w:val="30"/>
          <w:lang w:val="en-US" w:eastAsia="zh-CN"/>
        </w:rPr>
        <w:t>下降100</w:t>
      </w:r>
      <w:r>
        <w:rPr>
          <w:rFonts w:hint="eastAsia" w:ascii="仿宋" w:hAnsi="仿宋" w:eastAsia="仿宋"/>
          <w:sz w:val="30"/>
          <w:szCs w:val="30"/>
        </w:rPr>
        <w:t>%，主要原因是：</w:t>
      </w:r>
      <w:r>
        <w:rPr>
          <w:rFonts w:hint="eastAsia" w:ascii="仿宋" w:hAnsi="仿宋" w:eastAsia="仿宋"/>
          <w:sz w:val="30"/>
          <w:szCs w:val="30"/>
          <w:lang w:val="en-US" w:eastAsia="zh-CN"/>
        </w:rPr>
        <w:t>本单位于年底因机构改革撤销</w:t>
      </w:r>
      <w:r>
        <w:rPr>
          <w:rFonts w:hint="eastAsia" w:ascii="仿宋" w:hAnsi="仿宋" w:eastAsia="仿宋"/>
          <w:sz w:val="30"/>
          <w:szCs w:val="30"/>
        </w:rPr>
        <w:t>。</w:t>
      </w:r>
    </w:p>
    <w:p w14:paraId="6607BEC6">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52.7</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%；项目支出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345E460F">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5BCCEB80">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29.04</w:t>
      </w:r>
      <w:r>
        <w:rPr>
          <w:rFonts w:hint="eastAsia" w:ascii="仿宋" w:hAnsi="仿宋" w:eastAsia="仿宋"/>
          <w:sz w:val="30"/>
          <w:szCs w:val="30"/>
        </w:rPr>
        <w:t>万元，决算数为</w:t>
      </w:r>
      <w:r>
        <w:rPr>
          <w:rFonts w:hint="eastAsia" w:ascii="仿宋" w:hAnsi="仿宋" w:eastAsia="仿宋"/>
          <w:sz w:val="30"/>
          <w:szCs w:val="30"/>
          <w:lang w:val="en-US" w:eastAsia="zh-CN"/>
        </w:rPr>
        <w:t>30.45</w:t>
      </w:r>
      <w:r>
        <w:rPr>
          <w:rFonts w:hint="eastAsia" w:ascii="仿宋" w:hAnsi="仿宋" w:eastAsia="仿宋"/>
          <w:sz w:val="30"/>
          <w:szCs w:val="30"/>
        </w:rPr>
        <w:t>万元，完成年初预算的</w:t>
      </w:r>
      <w:r>
        <w:rPr>
          <w:rFonts w:hint="eastAsia" w:ascii="仿宋" w:hAnsi="仿宋" w:eastAsia="仿宋"/>
          <w:sz w:val="30"/>
          <w:szCs w:val="30"/>
          <w:lang w:val="en-US" w:eastAsia="zh-CN"/>
        </w:rPr>
        <w:t>104.86</w:t>
      </w:r>
      <w:r>
        <w:rPr>
          <w:rFonts w:hint="eastAsia" w:ascii="仿宋" w:hAnsi="仿宋" w:eastAsia="仿宋"/>
          <w:sz w:val="30"/>
          <w:szCs w:val="30"/>
        </w:rPr>
        <w:t>%。其中：</w:t>
      </w:r>
    </w:p>
    <w:p w14:paraId="403BB2AE">
      <w:pPr>
        <w:numPr>
          <w:ilvl w:val="0"/>
          <w:numId w:val="2"/>
        </w:num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25.36</w:t>
      </w:r>
      <w:r>
        <w:rPr>
          <w:rFonts w:hint="eastAsia" w:ascii="仿宋" w:hAnsi="仿宋" w:eastAsia="仿宋"/>
          <w:sz w:val="30"/>
          <w:szCs w:val="30"/>
        </w:rPr>
        <w:t>万元，决算数为</w:t>
      </w:r>
      <w:r>
        <w:rPr>
          <w:rFonts w:hint="eastAsia" w:ascii="仿宋" w:hAnsi="仿宋" w:eastAsia="仿宋"/>
          <w:sz w:val="30"/>
          <w:szCs w:val="30"/>
          <w:lang w:val="en-US" w:eastAsia="zh-CN"/>
        </w:rPr>
        <w:t>26.77</w:t>
      </w:r>
      <w:r>
        <w:rPr>
          <w:rFonts w:hint="eastAsia" w:ascii="仿宋" w:hAnsi="仿宋" w:eastAsia="仿宋"/>
          <w:sz w:val="30"/>
          <w:szCs w:val="30"/>
        </w:rPr>
        <w:t>万元，完成年初预算的</w:t>
      </w:r>
      <w:r>
        <w:rPr>
          <w:rFonts w:hint="eastAsia" w:ascii="仿宋" w:hAnsi="仿宋" w:eastAsia="仿宋"/>
          <w:sz w:val="30"/>
          <w:szCs w:val="30"/>
          <w:lang w:val="en-US" w:eastAsia="zh-CN"/>
        </w:rPr>
        <w:t>105.56</w:t>
      </w:r>
      <w:r>
        <w:rPr>
          <w:rFonts w:hint="eastAsia" w:ascii="仿宋" w:hAnsi="仿宋" w:eastAsia="仿宋"/>
          <w:sz w:val="30"/>
          <w:szCs w:val="30"/>
        </w:rPr>
        <w:t>%，主要原因是：</w:t>
      </w:r>
      <w:r>
        <w:rPr>
          <w:rFonts w:hint="eastAsia" w:ascii="仿宋" w:hAnsi="仿宋" w:eastAsia="仿宋"/>
          <w:sz w:val="30"/>
          <w:szCs w:val="30"/>
          <w:lang w:val="en-US" w:eastAsia="zh-CN"/>
        </w:rPr>
        <w:t>工资正常晋级晋档。</w:t>
      </w:r>
    </w:p>
    <w:p w14:paraId="524A7C74">
      <w:pPr>
        <w:numPr>
          <w:ilvl w:val="0"/>
          <w:numId w:val="0"/>
        </w:numPr>
        <w:ind w:firstLine="600" w:firstLineChars="200"/>
        <w:jc w:val="left"/>
        <w:rPr>
          <w:rFonts w:hint="eastAsia" w:ascii="仿宋" w:hAnsi="仿宋" w:eastAsia="仿宋"/>
          <w:sz w:val="30"/>
          <w:szCs w:val="30"/>
          <w:lang w:eastAsia="zh-CN"/>
        </w:rPr>
      </w:pPr>
      <w:r>
        <w:rPr>
          <w:rFonts w:hint="eastAsia" w:ascii="仿宋" w:hAnsi="仿宋" w:eastAsia="仿宋"/>
          <w:sz w:val="30"/>
          <w:szCs w:val="30"/>
        </w:rPr>
        <w:t>（</w:t>
      </w:r>
      <w:r>
        <w:rPr>
          <w:rFonts w:hint="eastAsia" w:ascii="仿宋" w:hAnsi="仿宋" w:eastAsia="仿宋"/>
          <w:sz w:val="30"/>
          <w:szCs w:val="30"/>
          <w:lang w:val="en-US" w:eastAsia="zh-CN"/>
        </w:rPr>
        <w:t>二</w:t>
      </w:r>
      <w:r>
        <w:rPr>
          <w:rFonts w:hint="eastAsia" w:ascii="仿宋" w:hAnsi="仿宋" w:eastAsia="仿宋"/>
          <w:sz w:val="30"/>
          <w:szCs w:val="30"/>
        </w:rPr>
        <w:t>）</w:t>
      </w:r>
      <w:r>
        <w:rPr>
          <w:rFonts w:hint="eastAsia" w:ascii="仿宋" w:hAnsi="仿宋" w:eastAsia="仿宋"/>
          <w:sz w:val="30"/>
          <w:szCs w:val="30"/>
          <w:lang w:eastAsia="zh-CN"/>
        </w:rPr>
        <w:t>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1.64</w:t>
      </w:r>
      <w:r>
        <w:rPr>
          <w:rFonts w:hint="eastAsia" w:ascii="仿宋" w:hAnsi="仿宋" w:eastAsia="仿宋"/>
          <w:sz w:val="30"/>
          <w:szCs w:val="30"/>
        </w:rPr>
        <w:t>万元，决算数为</w:t>
      </w:r>
      <w:r>
        <w:rPr>
          <w:rFonts w:hint="eastAsia" w:ascii="仿宋" w:hAnsi="仿宋" w:eastAsia="仿宋"/>
          <w:sz w:val="30"/>
          <w:szCs w:val="30"/>
          <w:lang w:val="en-US" w:eastAsia="zh-CN"/>
        </w:rPr>
        <w:t>1.64</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14:paraId="01905B7E">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（三）住房保障支出年初预算数为2.04万元，决算数为2.04万元，完成年初预算的100%。</w:t>
      </w:r>
    </w:p>
    <w:p w14:paraId="78DBBFE5">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3F82B615">
      <w:pPr>
        <w:ind w:firstLine="585"/>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30.45</w:t>
      </w:r>
      <w:r>
        <w:rPr>
          <w:rFonts w:hint="eastAsia" w:ascii="仿宋" w:hAnsi="仿宋" w:eastAsia="仿宋"/>
          <w:sz w:val="30"/>
          <w:szCs w:val="30"/>
        </w:rPr>
        <w:t>万元，其中：</w:t>
      </w:r>
    </w:p>
    <w:p w14:paraId="5FB4781D">
      <w:pPr>
        <w:numPr>
          <w:ilvl w:val="0"/>
          <w:numId w:val="3"/>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30.45</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减少3.25</w:t>
      </w:r>
      <w:r>
        <w:rPr>
          <w:rFonts w:hint="eastAsia" w:ascii="仿宋" w:hAnsi="仿宋" w:eastAsia="仿宋"/>
          <w:sz w:val="30"/>
          <w:szCs w:val="30"/>
        </w:rPr>
        <w:t>万元，</w:t>
      </w:r>
      <w:r>
        <w:rPr>
          <w:rFonts w:hint="eastAsia" w:ascii="仿宋" w:hAnsi="仿宋" w:eastAsia="仿宋"/>
          <w:sz w:val="30"/>
          <w:szCs w:val="30"/>
          <w:lang w:val="en-US" w:eastAsia="zh-CN"/>
        </w:rPr>
        <w:t>下降9.64</w:t>
      </w:r>
      <w:r>
        <w:rPr>
          <w:rFonts w:hint="eastAsia" w:ascii="仿宋" w:hAnsi="仿宋" w:eastAsia="仿宋"/>
          <w:sz w:val="30"/>
          <w:szCs w:val="30"/>
        </w:rPr>
        <w:t>%，主要原因是</w:t>
      </w:r>
      <w:r>
        <w:rPr>
          <w:rFonts w:hint="eastAsia" w:ascii="仿宋" w:hAnsi="仿宋" w:eastAsia="仿宋"/>
          <w:sz w:val="30"/>
          <w:szCs w:val="30"/>
          <w:lang w:val="en-US" w:eastAsia="zh-CN"/>
        </w:rPr>
        <w:t>2021年度无各项奖金发放。</w:t>
      </w:r>
    </w:p>
    <w:p w14:paraId="70FC944F">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0</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减少1.61</w:t>
      </w:r>
      <w:r>
        <w:rPr>
          <w:rFonts w:hint="eastAsia" w:ascii="仿宋" w:hAnsi="仿宋" w:eastAsia="仿宋"/>
          <w:sz w:val="30"/>
          <w:szCs w:val="30"/>
        </w:rPr>
        <w:t>万元，</w:t>
      </w:r>
      <w:r>
        <w:rPr>
          <w:rFonts w:hint="eastAsia" w:ascii="仿宋" w:hAnsi="仿宋" w:eastAsia="仿宋"/>
          <w:sz w:val="30"/>
          <w:szCs w:val="30"/>
          <w:lang w:val="en-US" w:eastAsia="zh-CN"/>
        </w:rPr>
        <w:t>下降100</w:t>
      </w:r>
      <w:r>
        <w:rPr>
          <w:rFonts w:hint="eastAsia" w:ascii="仿宋" w:hAnsi="仿宋" w:eastAsia="仿宋"/>
          <w:sz w:val="30"/>
          <w:szCs w:val="30"/>
        </w:rPr>
        <w:t>%，主要原因是：</w:t>
      </w:r>
      <w:r>
        <w:rPr>
          <w:rFonts w:hint="eastAsia" w:ascii="仿宋" w:hAnsi="仿宋" w:eastAsia="仿宋"/>
          <w:sz w:val="30"/>
          <w:szCs w:val="30"/>
          <w:lang w:val="en-US" w:eastAsia="zh-CN"/>
        </w:rPr>
        <w:t>疫情影响，减少公祭活动支出</w:t>
      </w:r>
      <w:r>
        <w:rPr>
          <w:rFonts w:hint="eastAsia" w:ascii="仿宋" w:hAnsi="仿宋" w:eastAsia="仿宋"/>
          <w:sz w:val="30"/>
          <w:szCs w:val="30"/>
        </w:rPr>
        <w:t>。</w:t>
      </w:r>
    </w:p>
    <w:p w14:paraId="718BA7A0">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16BE102D">
      <w:pPr>
        <w:pStyle w:val="2"/>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sz w:val="30"/>
          <w:szCs w:val="30"/>
        </w:rPr>
        <w:t>本</w:t>
      </w:r>
      <w:r>
        <w:rPr>
          <w:rFonts w:hint="eastAsia" w:ascii="仿宋" w:hAnsi="仿宋" w:eastAsia="仿宋"/>
          <w:sz w:val="30"/>
          <w:szCs w:val="30"/>
          <w:lang w:eastAsia="zh-CN"/>
        </w:rPr>
        <w:t>单位2021</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r>
        <w:rPr>
          <w:rFonts w:hint="eastAsia" w:ascii="仿宋" w:hAnsi="仿宋" w:eastAsia="仿宋" w:cs="仿宋"/>
          <w:sz w:val="30"/>
          <w:szCs w:val="30"/>
          <w:lang w:val="en-US" w:eastAsia="zh-CN"/>
        </w:rPr>
        <w:t>因除单位日常运行及维护外无其他“三公”经费相关支出。</w:t>
      </w:r>
    </w:p>
    <w:p w14:paraId="46B1C4CA">
      <w:pPr>
        <w:ind w:firstLine="630"/>
        <w:jc w:val="left"/>
        <w:rPr>
          <w:rFonts w:hint="eastAsia" w:ascii="仿宋" w:hAnsi="仿宋" w:eastAsia="仿宋"/>
          <w:sz w:val="30"/>
          <w:szCs w:val="30"/>
        </w:rPr>
      </w:pPr>
      <w:r>
        <w:rPr>
          <w:rFonts w:hint="eastAsia" w:ascii="仿宋" w:hAnsi="仿宋" w:eastAsia="仿宋"/>
          <w:sz w:val="30"/>
          <w:szCs w:val="30"/>
        </w:rPr>
        <w:t>其中：</w:t>
      </w:r>
    </w:p>
    <w:p w14:paraId="351EE260">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5C41C999">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无增减变动。全年国内公务接待0批，累计接待0人次，其中外事接待0批，累计接待0人次，</w:t>
      </w:r>
      <w:r>
        <w:rPr>
          <w:rFonts w:hint="eastAsia" w:ascii="仿宋" w:hAnsi="仿宋" w:eastAsia="仿宋"/>
          <w:sz w:val="30"/>
          <w:szCs w:val="30"/>
        </w:rPr>
        <w:t>。</w:t>
      </w:r>
    </w:p>
    <w:p w14:paraId="7626A1DE">
      <w:pPr>
        <w:ind w:firstLine="630"/>
        <w:jc w:val="left"/>
        <w:rPr>
          <w:rFonts w:hint="eastAsia" w:ascii="仿宋" w:hAnsi="仿宋" w:eastAsia="仿宋"/>
          <w:sz w:val="30"/>
          <w:szCs w:val="30"/>
          <w:lang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无增减变动</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lang w:eastAsia="zh-CN"/>
        </w:rPr>
        <w:t>。</w:t>
      </w:r>
    </w:p>
    <w:p w14:paraId="6DE057B3">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0B22B895">
      <w:pPr>
        <w:numPr>
          <w:ilvl w:val="0"/>
          <w:numId w:val="0"/>
        </w:numPr>
        <w:ind w:firstLine="600" w:firstLineChars="200"/>
        <w:jc w:val="left"/>
        <w:rPr>
          <w:rFonts w:hint="default" w:ascii="仿宋" w:hAnsi="仿宋" w:eastAsia="仿宋"/>
          <w:sz w:val="30"/>
          <w:szCs w:val="30"/>
          <w:lang w:val="en-US"/>
        </w:rPr>
      </w:pPr>
      <w:r>
        <w:rPr>
          <w:rFonts w:hint="eastAsia" w:ascii="仿宋" w:hAnsi="仿宋" w:eastAsia="仿宋"/>
          <w:sz w:val="30"/>
          <w:szCs w:val="30"/>
        </w:rPr>
        <w:t>本</w:t>
      </w:r>
      <w:r>
        <w:rPr>
          <w:rFonts w:hint="eastAsia" w:ascii="仿宋" w:hAnsi="仿宋" w:eastAsia="仿宋"/>
          <w:sz w:val="30"/>
          <w:szCs w:val="30"/>
          <w:lang w:eastAsia="zh-CN"/>
        </w:rPr>
        <w:t>单位</w:t>
      </w:r>
      <w:r>
        <w:rPr>
          <w:rFonts w:hint="eastAsia" w:ascii="仿宋" w:hAnsi="仿宋" w:eastAsia="仿宋"/>
          <w:sz w:val="30"/>
          <w:szCs w:val="30"/>
          <w:lang w:val="en-US" w:eastAsia="zh-CN"/>
        </w:rPr>
        <w:t>不是行政单位和参照公务员法管理事业单位，故无机关运行经费支出。</w:t>
      </w:r>
    </w:p>
    <w:p w14:paraId="5BDF87D6">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569B71C7">
      <w:pPr>
        <w:ind w:firstLine="630"/>
        <w:jc w:val="left"/>
        <w:rPr>
          <w:rFonts w:hint="eastAsia" w:ascii="仿宋_GB2312" w:hAnsi="仿宋_GB2312" w:eastAsia="仿宋_GB2312"/>
          <w:color w:val="auto"/>
          <w:sz w:val="30"/>
          <w:szCs w:val="30"/>
          <w:lang w:val="en-US" w:eastAsia="zh-CN"/>
        </w:rPr>
      </w:pPr>
      <w:r>
        <w:rPr>
          <w:rFonts w:hint="eastAsia" w:ascii="仿宋_GB2312" w:hAnsi="仿宋_GB2312" w:eastAsia="仿宋_GB2312"/>
          <w:sz w:val="30"/>
          <w:szCs w:val="30"/>
        </w:rPr>
        <w:t>本</w:t>
      </w:r>
      <w:r>
        <w:rPr>
          <w:rFonts w:hint="eastAsia" w:ascii="仿宋_GB2312" w:hAnsi="仿宋_GB2312" w:eastAsia="仿宋_GB2312"/>
          <w:sz w:val="30"/>
          <w:szCs w:val="30"/>
          <w:lang w:val="en-US" w:eastAsia="zh-CN"/>
        </w:rPr>
        <w:t>单位</w:t>
      </w:r>
      <w:r>
        <w:rPr>
          <w:rFonts w:hint="eastAsia" w:ascii="仿宋_GB2312" w:hAnsi="仿宋_GB2312" w:eastAsia="仿宋_GB2312"/>
          <w:sz w:val="30"/>
          <w:szCs w:val="30"/>
        </w:rPr>
        <w:t>202</w:t>
      </w:r>
      <w:r>
        <w:rPr>
          <w:rFonts w:hint="eastAsia" w:ascii="仿宋_GB2312" w:hAnsi="仿宋_GB2312" w:eastAsia="仿宋_GB2312"/>
          <w:sz w:val="30"/>
          <w:szCs w:val="30"/>
          <w:lang w:val="en-US" w:eastAsia="zh-CN"/>
        </w:rPr>
        <w:t>1</w:t>
      </w:r>
      <w:r>
        <w:rPr>
          <w:rFonts w:hint="eastAsia" w:ascii="仿宋_GB2312" w:hAnsi="仿宋_GB2312" w:eastAsia="仿宋_GB2312"/>
          <w:sz w:val="30"/>
          <w:szCs w:val="30"/>
        </w:rPr>
        <w:t>年度政府采购支出总额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万元，其中：政府采购货物支出  万元、政府采购工程支出</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万元、政府采购服务支出  万元。授予中小企业合同金额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%，其中：授予小微企业合同金额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w:t>
      </w:r>
      <w:r>
        <w:rPr>
          <w:rFonts w:hint="eastAsia" w:ascii="仿宋_GB2312" w:hAnsi="仿宋_GB2312" w:eastAsia="仿宋_GB2312"/>
          <w:color w:val="auto"/>
          <w:sz w:val="30"/>
          <w:szCs w:val="30"/>
          <w:lang w:val="en-US" w:eastAsia="zh-CN"/>
        </w:rPr>
        <w:t>货物采购授予中小企业合同金额占货物支出金额的0%，工程采购授予中小企业合同金额占工程支出金额的0%，服务采购授予中小企业合同金额占服务支出金额的0%。</w:t>
      </w:r>
    </w:p>
    <w:p w14:paraId="69859E7D">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256198DF">
      <w:pPr>
        <w:ind w:firstLine="630"/>
        <w:jc w:val="left"/>
        <w:rPr>
          <w:rFonts w:hint="eastAsia" w:ascii="黑体" w:hAnsi="黑体" w:eastAsia="黑体"/>
          <w:sz w:val="30"/>
          <w:szCs w:val="30"/>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lang w:eastAsia="zh-CN"/>
        </w:rPr>
        <w:t>2021</w:t>
      </w:r>
      <w:r>
        <w:rPr>
          <w:rFonts w:hint="eastAsia" w:ascii="仿宋" w:hAnsi="仿宋" w:eastAsia="仿宋"/>
          <w:kern w:val="0"/>
          <w:sz w:val="30"/>
          <w:szCs w:val="30"/>
        </w:rPr>
        <w:t>年12月31日，本</w:t>
      </w:r>
      <w:r>
        <w:rPr>
          <w:rFonts w:hint="eastAsia" w:ascii="仿宋" w:hAnsi="仿宋" w:eastAsia="仿宋"/>
          <w:kern w:val="0"/>
          <w:sz w:val="30"/>
          <w:szCs w:val="30"/>
          <w:lang w:eastAsia="zh-CN"/>
        </w:rPr>
        <w:t>单位（</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。本单位共有车辆0辆；单位价值50万元以上通用设备0台（套）；单位价值100万元以上专用设备0台（套）。</w:t>
      </w:r>
    </w:p>
    <w:p w14:paraId="73A8890F">
      <w:pPr>
        <w:ind w:firstLine="630"/>
        <w:jc w:val="left"/>
        <w:rPr>
          <w:rFonts w:hint="eastAsia" w:ascii="仿宋" w:hAnsi="仿宋" w:eastAsia="仿宋" w:cs="仿宋"/>
          <w:b/>
          <w:bCs/>
          <w:sz w:val="30"/>
          <w:szCs w:val="30"/>
          <w:lang w:val="en-US" w:eastAsia="zh-CN"/>
        </w:rPr>
      </w:pPr>
      <w:r>
        <w:rPr>
          <w:rFonts w:hint="eastAsia" w:ascii="黑体" w:hAnsi="黑体" w:eastAsia="黑体"/>
          <w:sz w:val="30"/>
          <w:szCs w:val="30"/>
        </w:rPr>
        <w:t>九、预算绩效情况说明</w:t>
      </w:r>
    </w:p>
    <w:p w14:paraId="6649CFC3">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（一）绩效管理工作开展情况。</w:t>
      </w:r>
    </w:p>
    <w:p w14:paraId="3E403ED2">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纳入</w:t>
      </w:r>
      <w:r>
        <w:rPr>
          <w:rFonts w:hint="eastAsia" w:ascii="仿宋" w:hAnsi="仿宋" w:eastAsia="仿宋" w:cs="仿宋_GB2312"/>
          <w:kern w:val="0"/>
          <w:sz w:val="30"/>
          <w:szCs w:val="30"/>
          <w:lang w:eastAsia="zh-CN"/>
        </w:rPr>
        <w:t>2021</w:t>
      </w:r>
      <w:r>
        <w:rPr>
          <w:rFonts w:hint="eastAsia" w:ascii="仿宋" w:hAnsi="仿宋" w:eastAsia="仿宋" w:cs="仿宋_GB2312"/>
          <w:kern w:val="0"/>
          <w:sz w:val="30"/>
          <w:szCs w:val="30"/>
        </w:rPr>
        <w:t>年度</w:t>
      </w:r>
      <w:r>
        <w:rPr>
          <w:rFonts w:hint="eastAsia" w:ascii="仿宋" w:hAnsi="仿宋" w:eastAsia="仿宋" w:cs="仿宋_GB2312"/>
          <w:kern w:val="0"/>
          <w:sz w:val="30"/>
          <w:szCs w:val="30"/>
          <w:lang w:val="en-US" w:eastAsia="zh-CN"/>
        </w:rPr>
        <w:t>部门预算范围的二级项目0个</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万元，占项目支出总额的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31548A8B">
      <w:pPr>
        <w:autoSpaceDE w:val="0"/>
        <w:autoSpaceDN w:val="0"/>
        <w:adjustRightInd w:val="0"/>
        <w:spacing w:line="360" w:lineRule="auto"/>
        <w:ind w:firstLine="585"/>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（二）</w:t>
      </w:r>
      <w:r>
        <w:rPr>
          <w:rFonts w:hint="eastAsia" w:ascii="仿宋" w:hAnsi="仿宋" w:eastAsia="仿宋" w:cs="仿宋_GB2312"/>
          <w:kern w:val="0"/>
          <w:sz w:val="30"/>
          <w:szCs w:val="30"/>
          <w:lang w:eastAsia="zh-CN"/>
        </w:rPr>
        <w:t>单位</w:t>
      </w:r>
      <w:r>
        <w:rPr>
          <w:rFonts w:hint="eastAsia" w:ascii="仿宋" w:hAnsi="仿宋" w:eastAsia="仿宋" w:cs="仿宋_GB2312"/>
          <w:kern w:val="0"/>
          <w:sz w:val="30"/>
          <w:szCs w:val="30"/>
        </w:rPr>
        <w:t>决算中项目绩效自评结果。</w:t>
      </w:r>
    </w:p>
    <w:p w14:paraId="7DB2405D">
      <w:pPr>
        <w:autoSpaceDE w:val="0"/>
        <w:autoSpaceDN w:val="0"/>
        <w:adjustRightInd w:val="0"/>
        <w:spacing w:line="360" w:lineRule="auto"/>
        <w:ind w:firstLine="6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w:t>
      </w:r>
    </w:p>
    <w:p w14:paraId="7C1F1CC1">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三）单位评价项目绩效评价结果。</w:t>
      </w:r>
    </w:p>
    <w:p w14:paraId="3A72C973">
      <w:pPr>
        <w:autoSpaceDE w:val="0"/>
        <w:autoSpaceDN w:val="0"/>
        <w:adjustRightInd w:val="0"/>
        <w:spacing w:line="360" w:lineRule="auto"/>
        <w:ind w:firstLine="600"/>
        <w:jc w:val="left"/>
        <w:rPr>
          <w:rFonts w:hint="eastAsia" w:ascii="仿宋" w:hAnsi="仿宋" w:eastAsia="仿宋" w:cs="仿宋"/>
          <w:sz w:val="30"/>
          <w:szCs w:val="30"/>
          <w:lang w:val="en-US" w:eastAsia="zh-CN"/>
        </w:rPr>
      </w:pPr>
      <w:r>
        <w:rPr>
          <w:rFonts w:hint="eastAsia" w:ascii="仿宋" w:hAnsi="仿宋" w:eastAsia="仿宋" w:cs="仿宋_GB2312"/>
          <w:kern w:val="0"/>
          <w:sz w:val="30"/>
          <w:szCs w:val="30"/>
          <w:lang w:val="en-US" w:eastAsia="zh-CN"/>
        </w:rPr>
        <w:t>因我单位除人员经费和日常公用经费外，无项目支出，故未开展项目绩效自评，无项目绩效评价结果。</w:t>
      </w:r>
    </w:p>
    <w:p w14:paraId="0EEF79B0">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6F57A827">
      <w:pPr>
        <w:pStyle w:val="5"/>
        <w:spacing w:line="600" w:lineRule="atLeast"/>
        <w:ind w:firstLine="600"/>
        <w:rPr>
          <w:rFonts w:hint="eastAsia" w:ascii="仿宋" w:hAnsi="仿宋" w:eastAsia="仿宋"/>
          <w:sz w:val="30"/>
          <w:szCs w:val="30"/>
        </w:rPr>
      </w:pPr>
    </w:p>
    <w:p w14:paraId="4F14BDF3">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048240B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387EC2B9">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55E0C73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2021</w:t>
      </w:r>
      <w:r>
        <w:rPr>
          <w:rFonts w:hint="eastAsia" w:ascii="仿宋" w:hAnsi="仿宋" w:eastAsia="仿宋"/>
          <w:kern w:val="0"/>
          <w:sz w:val="30"/>
          <w:szCs w:val="30"/>
        </w:rPr>
        <w:t>年全部结转和结余的资金数，包括当年结转结余资金和历年滚存结转结余资金。</w:t>
      </w:r>
    </w:p>
    <w:p w14:paraId="0D48DAF0">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358820F2">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5FE465F5">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3ECC01F0">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72030C48">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27499AE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71D5DD7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）社会保障和就业支出（类）行政事业单位养老支出（款）事业单位离退休（项）：反映事业单位开支的离退休经费。</w:t>
      </w:r>
    </w:p>
    <w:p w14:paraId="3AAC1C2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2A9636A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）社会保障和就业支出（类）抚恤（款）其他优抚支出（项）：反映春节及八一走访慰问项目支出。</w:t>
      </w:r>
    </w:p>
    <w:p w14:paraId="6789C77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）社会保障和就业支出（类）退役安置（款） 退役士兵安置（项）：对符合条件的退役士兵、转业士官的安置支出。</w:t>
      </w:r>
    </w:p>
    <w:p w14:paraId="5ED638F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760B002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7DF8D13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其他退役安置支出（项）：反映上述项目以外的用于退役安置方面的支出。</w:t>
      </w:r>
    </w:p>
    <w:p w14:paraId="3D67C2A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）社会保障和就业支出（类）退役军人管理事务（款） 行政运行（项）：反映行政单位的基本支出。</w:t>
      </w:r>
    </w:p>
    <w:p w14:paraId="1D221D7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四</w:t>
      </w:r>
      <w:r>
        <w:rPr>
          <w:rFonts w:hint="eastAsia" w:ascii="仿宋" w:hAnsi="仿宋" w:eastAsia="仿宋"/>
          <w:kern w:val="0"/>
          <w:sz w:val="30"/>
          <w:szCs w:val="30"/>
        </w:rPr>
        <w:t>）社会保障和就业支出（类）退役军人管理事务（款） 拥军优属（项）：反映拥军优属活动的支出。</w:t>
      </w:r>
    </w:p>
    <w:p w14:paraId="47B8C54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6E9E32F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0914813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77C0474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261178F6">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十九</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689D884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）卫生健康支出（类）行政事业单位医疗（款）公务员医疗补助（项）：反映财政部门安排的公务员医疗补助经费。</w:t>
      </w:r>
    </w:p>
    <w:p w14:paraId="61202C1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5521308F">
      <w:pPr>
        <w:ind w:firstLine="600" w:firstLineChars="200"/>
        <w:rPr>
          <w:rFonts w:hint="default" w:ascii="仿宋" w:hAnsi="仿宋" w:eastAsia="仿宋"/>
          <w:kern w:val="0"/>
          <w:sz w:val="30"/>
          <w:szCs w:val="30"/>
          <w:lang w:val="en-US" w:eastAsia="zh-CN"/>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 xml:space="preserve">）住房保障支出（类） 住房改革支出（款）住房公积金（项）：住房公积金的支出。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267351F3"/>
    <w:multiLevelType w:val="singleLevel"/>
    <w:tmpl w:val="267351F3"/>
    <w:lvl w:ilvl="0" w:tentative="0">
      <w:start w:val="1"/>
      <w:numFmt w:val="chineseCounting"/>
      <w:suff w:val="nothing"/>
      <w:lvlText w:val="（%1）"/>
      <w:lvlJc w:val="left"/>
      <w:rPr>
        <w:rFonts w:hint="eastAsia"/>
      </w:rPr>
    </w:lvl>
  </w:abstractNum>
  <w:abstractNum w:abstractNumId="2">
    <w:nsid w:val="508790A7"/>
    <w:multiLevelType w:val="singleLevel"/>
    <w:tmpl w:val="508790A7"/>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1397C80"/>
    <w:rsid w:val="0A833BAF"/>
    <w:rsid w:val="0D870F11"/>
    <w:rsid w:val="0E7B0089"/>
    <w:rsid w:val="0F1B0B98"/>
    <w:rsid w:val="0FDE12D6"/>
    <w:rsid w:val="18A4506D"/>
    <w:rsid w:val="1A073F58"/>
    <w:rsid w:val="1B0A5729"/>
    <w:rsid w:val="1E4653BA"/>
    <w:rsid w:val="20C24C79"/>
    <w:rsid w:val="20DA626A"/>
    <w:rsid w:val="20F628BA"/>
    <w:rsid w:val="25ED4B05"/>
    <w:rsid w:val="262C5BFB"/>
    <w:rsid w:val="352A495A"/>
    <w:rsid w:val="3793334B"/>
    <w:rsid w:val="37FC07D4"/>
    <w:rsid w:val="380A3C85"/>
    <w:rsid w:val="3C160F53"/>
    <w:rsid w:val="40F811CF"/>
    <w:rsid w:val="42731B53"/>
    <w:rsid w:val="42E90224"/>
    <w:rsid w:val="4B633824"/>
    <w:rsid w:val="4D843680"/>
    <w:rsid w:val="511C3F63"/>
    <w:rsid w:val="5D2651CC"/>
    <w:rsid w:val="5D9271DC"/>
    <w:rsid w:val="5DB8630B"/>
    <w:rsid w:val="5F1E5097"/>
    <w:rsid w:val="62115B72"/>
    <w:rsid w:val="712F640A"/>
    <w:rsid w:val="7BD16B5E"/>
    <w:rsid w:val="7C946478"/>
    <w:rsid w:val="7EA24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4006</Words>
  <Characters>4242</Characters>
  <Lines>0</Lines>
  <Paragraphs>0</Paragraphs>
  <TotalTime>1</TotalTime>
  <ScaleCrop>false</ScaleCrop>
  <LinksUpToDate>false</LinksUpToDate>
  <CharactersWithSpaces>4348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3073E1B73EF840D18660D4B7F087CB0B</vt:lpwstr>
  </property>
  <property fmtid="{D5CDD505-2E9C-101B-9397-08002B2CF9AE}" pid="4" name="KSOTemplateDocerSaveRecord">
    <vt:lpwstr>eyJoZGlkIjoiZDE0NGEzNGIzZjUwOGU4ZDE5MWE2OTkyZTc1ZTM0ZWUiLCJ1c2VySWQiOiI1MDI5MTkxMDkifQ==</vt:lpwstr>
  </property>
</Properties>
</file>