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DB342">
      <w:pPr>
        <w:spacing w:line="600" w:lineRule="exact"/>
        <w:jc w:val="center"/>
        <w:rPr>
          <w:rFonts w:hint="eastAsia" w:ascii="黑体" w:eastAsia="黑体"/>
          <w:sz w:val="44"/>
          <w:szCs w:val="36"/>
          <w:lang w:val="en-US" w:eastAsia="zh-CN"/>
        </w:rPr>
      </w:pPr>
      <w:r>
        <w:rPr>
          <w:rFonts w:hint="eastAsia" w:ascii="黑体" w:eastAsia="黑体"/>
          <w:sz w:val="44"/>
          <w:szCs w:val="36"/>
          <w:lang w:val="en-US" w:eastAsia="zh-CN"/>
        </w:rPr>
        <w:t>景德镇军供站</w:t>
      </w:r>
    </w:p>
    <w:p w14:paraId="4F672EC2">
      <w:pPr>
        <w:spacing w:line="600" w:lineRule="exact"/>
        <w:jc w:val="center"/>
        <w:rPr>
          <w:rFonts w:hint="eastAsia" w:ascii="宋体" w:hAnsi="宋体" w:cs="宋体"/>
          <w:b/>
          <w:bCs/>
          <w:sz w:val="44"/>
          <w:szCs w:val="36"/>
        </w:rPr>
      </w:pPr>
      <w:r>
        <w:rPr>
          <w:rFonts w:hint="eastAsia" w:ascii="宋体" w:hAnsi="宋体" w:cs="宋体"/>
          <w:b/>
          <w:bCs/>
          <w:sz w:val="44"/>
          <w:szCs w:val="36"/>
        </w:rPr>
        <w:t>2020年度部门决算</w:t>
      </w:r>
    </w:p>
    <w:p w14:paraId="45788CE9">
      <w:pPr>
        <w:spacing w:line="600" w:lineRule="exact"/>
        <w:jc w:val="center"/>
        <w:rPr>
          <w:rFonts w:hint="eastAsia" w:ascii="黑体" w:hAnsi="Calibri" w:eastAsia="黑体"/>
          <w:sz w:val="44"/>
          <w:szCs w:val="36"/>
        </w:rPr>
      </w:pPr>
    </w:p>
    <w:p w14:paraId="7265CB55">
      <w:pPr>
        <w:spacing w:line="600" w:lineRule="exact"/>
        <w:jc w:val="center"/>
        <w:rPr>
          <w:rFonts w:hint="eastAsia" w:ascii="宋体" w:hAnsi="宋体" w:cs="宋体"/>
          <w:b/>
          <w:bCs/>
          <w:sz w:val="40"/>
          <w:szCs w:val="36"/>
        </w:rPr>
      </w:pPr>
      <w:r>
        <w:rPr>
          <w:rFonts w:hint="eastAsia" w:ascii="宋体" w:hAnsi="宋体" w:cs="宋体"/>
          <w:b/>
          <w:bCs/>
          <w:sz w:val="40"/>
          <w:szCs w:val="36"/>
        </w:rPr>
        <w:t>目    录</w:t>
      </w:r>
    </w:p>
    <w:p w14:paraId="2D7F208E">
      <w:pPr>
        <w:widowControl/>
        <w:spacing w:line="600" w:lineRule="exact"/>
        <w:ind w:firstLine="640"/>
        <w:jc w:val="left"/>
        <w:rPr>
          <w:rFonts w:hint="eastAsia" w:ascii="仿宋_GB2312" w:hAnsi="Calibri" w:eastAsia="仿宋_GB2312"/>
          <w:sz w:val="32"/>
          <w:szCs w:val="30"/>
        </w:rPr>
      </w:pPr>
    </w:p>
    <w:p w14:paraId="0139BB2C">
      <w:pPr>
        <w:widowControl/>
        <w:spacing w:line="600" w:lineRule="exact"/>
        <w:ind w:firstLine="64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第一部分</w:t>
      </w:r>
      <w:r>
        <w:rPr>
          <w:rFonts w:hint="eastAsia" w:ascii="黑体" w:hAnsi="黑体" w:eastAsia="黑体"/>
          <w:b/>
          <w:sz w:val="32"/>
          <w:szCs w:val="32"/>
        </w:rPr>
        <w:t xml:space="preserve">  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景德镇军供站</w:t>
      </w:r>
      <w:r>
        <w:rPr>
          <w:rFonts w:hint="eastAsia" w:ascii="黑体" w:hAnsi="黑体" w:eastAsia="黑体"/>
          <w:sz w:val="32"/>
          <w:szCs w:val="32"/>
        </w:rPr>
        <w:t>部门概况</w:t>
      </w:r>
    </w:p>
    <w:p w14:paraId="6C518901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/>
          <w:b/>
          <w:sz w:val="32"/>
          <w:szCs w:val="30"/>
        </w:rPr>
        <w:t xml:space="preserve"> </w:t>
      </w: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一、部门主要职责</w:t>
      </w:r>
    </w:p>
    <w:p w14:paraId="271E9DED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二、部门基本情况</w:t>
      </w:r>
    </w:p>
    <w:p w14:paraId="40F85CA3">
      <w:pPr>
        <w:widowControl/>
        <w:spacing w:line="600" w:lineRule="exact"/>
        <w:ind w:firstLine="64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第二部分  2020年度部门决算表</w:t>
      </w:r>
    </w:p>
    <w:p w14:paraId="0A09EECB"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一、收入支出决算总表</w:t>
      </w:r>
    </w:p>
    <w:p w14:paraId="49979A91"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二、收入决算表</w:t>
      </w:r>
    </w:p>
    <w:p w14:paraId="534A4060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三、支出决算表</w:t>
      </w:r>
    </w:p>
    <w:p w14:paraId="7B079598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四、财政拨款收入支出决算总表</w:t>
      </w:r>
    </w:p>
    <w:p w14:paraId="236CDEDA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五、一般公共预算财政拨款支出决算表</w:t>
      </w:r>
    </w:p>
    <w:p w14:paraId="58CB564B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六、一般公共预算财政拨款基本支出决算表</w:t>
      </w:r>
    </w:p>
    <w:p w14:paraId="37123919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七、一般公共预算财政拨款“三公”经费支出决算表</w:t>
      </w:r>
    </w:p>
    <w:p w14:paraId="6C109B2F">
      <w:pPr>
        <w:widowControl/>
        <w:numPr>
          <w:ilvl w:val="0"/>
          <w:numId w:val="1"/>
        </w:numPr>
        <w:spacing w:line="600" w:lineRule="exact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政府性基金预算财政拨款收入支出决算表</w:t>
      </w:r>
    </w:p>
    <w:p w14:paraId="3A0AC9F7">
      <w:pPr>
        <w:widowControl/>
        <w:numPr>
          <w:ilvl w:val="0"/>
          <w:numId w:val="1"/>
        </w:numPr>
        <w:spacing w:line="600" w:lineRule="exact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国有资本经营预算财政拨款支出决算表</w:t>
      </w:r>
    </w:p>
    <w:p w14:paraId="64D147EC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十、国有资产占用情况表</w:t>
      </w:r>
    </w:p>
    <w:p w14:paraId="46CF6C08">
      <w:pPr>
        <w:widowControl/>
        <w:spacing w:line="600" w:lineRule="exact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 xml:space="preserve">    </w:t>
      </w:r>
      <w:r>
        <w:rPr>
          <w:rFonts w:hint="eastAsia" w:ascii="黑体" w:hAnsi="黑体" w:eastAsia="黑体"/>
          <w:sz w:val="32"/>
          <w:szCs w:val="32"/>
        </w:rPr>
        <w:t>第三部分  2020年度部门决算情况说明</w:t>
      </w:r>
    </w:p>
    <w:p w14:paraId="465082AF"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一、收入决算情况说明</w:t>
      </w:r>
    </w:p>
    <w:p w14:paraId="62B83BCA"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二、支出决算情况说明</w:t>
      </w:r>
    </w:p>
    <w:p w14:paraId="5515C0A8"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三、财政拨款支出决算情况说明</w:t>
      </w:r>
    </w:p>
    <w:p w14:paraId="445D0122"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四、一般公共预算财政拨款基本支出决算情况说明</w:t>
      </w:r>
    </w:p>
    <w:p w14:paraId="1F8BEAE6"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五、一般公共预算财政拨款“三公”经费支出决算情况说明</w:t>
      </w:r>
    </w:p>
    <w:p w14:paraId="02A81AFA">
      <w:pPr>
        <w:widowControl/>
        <w:spacing w:line="600" w:lineRule="exact"/>
        <w:ind w:firstLine="1280" w:firstLineChars="40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>六、机关运行经费支出情况说明</w:t>
      </w:r>
    </w:p>
    <w:p w14:paraId="5C97E532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七、政府采购支出情况说明</w:t>
      </w:r>
    </w:p>
    <w:p w14:paraId="7C8890BA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八、国有资产占用情况说明</w:t>
      </w:r>
    </w:p>
    <w:p w14:paraId="7E5A73FD">
      <w:pPr>
        <w:widowControl/>
        <w:spacing w:line="600" w:lineRule="exact"/>
        <w:ind w:firstLine="640"/>
        <w:jc w:val="left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0"/>
          <w:sz w:val="32"/>
          <w:szCs w:val="32"/>
          <w:lang w:val="zh-CN"/>
        </w:rPr>
        <w:t xml:space="preserve">    九、预算绩效情况说明</w:t>
      </w:r>
    </w:p>
    <w:p w14:paraId="6E2DB3A8">
      <w:pPr>
        <w:widowControl/>
        <w:spacing w:line="600" w:lineRule="exact"/>
        <w:ind w:firstLine="640"/>
        <w:jc w:val="left"/>
        <w:rPr>
          <w:rFonts w:hint="eastAsia" w:ascii="仿宋" w:hAnsi="仿宋" w:eastAsia="仿宋"/>
          <w:sz w:val="32"/>
          <w:szCs w:val="30"/>
        </w:rPr>
      </w:pPr>
      <w:r>
        <w:rPr>
          <w:rFonts w:hint="eastAsia" w:ascii="黑体" w:hAnsi="黑体" w:eastAsia="黑体"/>
          <w:sz w:val="32"/>
          <w:szCs w:val="32"/>
        </w:rPr>
        <w:t>第四部分  名词解释</w:t>
      </w:r>
    </w:p>
    <w:p w14:paraId="690D2FC4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1CA772AE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33C39045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15B19625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24D4D812">
      <w:pPr>
        <w:ind w:firstLine="630"/>
        <w:jc w:val="center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</w:p>
    <w:p w14:paraId="190F43AA">
      <w:pPr>
        <w:ind w:firstLine="630"/>
        <w:jc w:val="center"/>
        <w:rPr>
          <w:rFonts w:hint="eastAsia" w:ascii="仿宋_GB2312" w:eastAsia="仿宋_GB2312" w:cs="仿宋_GB2312"/>
          <w:kern w:val="0"/>
          <w:sz w:val="32"/>
          <w:szCs w:val="32"/>
          <w:lang w:val="zh-CN"/>
        </w:rPr>
      </w:pPr>
    </w:p>
    <w:p w14:paraId="6E3F141B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050ADB3B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3AD1F4D2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55680AC0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370F3518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74ADED81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3C4E5D59">
      <w:pPr>
        <w:ind w:firstLine="630"/>
        <w:jc w:val="center"/>
        <w:rPr>
          <w:rFonts w:hint="eastAsia" w:ascii="宋体" w:hAnsi="宋体"/>
          <w:b/>
          <w:sz w:val="36"/>
          <w:szCs w:val="36"/>
        </w:rPr>
      </w:pPr>
    </w:p>
    <w:p w14:paraId="724AC707">
      <w:pPr>
        <w:widowControl/>
        <w:spacing w:line="580" w:lineRule="exact"/>
        <w:jc w:val="center"/>
        <w:rPr>
          <w:rFonts w:hint="eastAsia" w:ascii="宋体" w:hAnsi="宋体"/>
          <w:b/>
          <w:sz w:val="32"/>
          <w:szCs w:val="30"/>
        </w:rPr>
      </w:pPr>
      <w:r>
        <w:rPr>
          <w:rFonts w:hint="eastAsia" w:ascii="宋体" w:hAnsi="宋体"/>
          <w:b/>
          <w:sz w:val="32"/>
          <w:szCs w:val="30"/>
        </w:rPr>
        <w:t xml:space="preserve">第一部分  </w:t>
      </w:r>
      <w:r>
        <w:rPr>
          <w:rFonts w:hint="eastAsia" w:ascii="宋体" w:hAnsi="宋体"/>
          <w:b/>
          <w:sz w:val="32"/>
          <w:szCs w:val="30"/>
          <w:lang w:val="en-US" w:eastAsia="zh-CN"/>
        </w:rPr>
        <w:t>景德镇军供站</w:t>
      </w:r>
      <w:r>
        <w:rPr>
          <w:rFonts w:hint="eastAsia" w:ascii="宋体" w:hAnsi="宋体"/>
          <w:b/>
          <w:sz w:val="32"/>
          <w:szCs w:val="30"/>
        </w:rPr>
        <w:t>概况</w:t>
      </w:r>
    </w:p>
    <w:p w14:paraId="0B904232">
      <w:pPr>
        <w:spacing w:line="600" w:lineRule="exact"/>
        <w:jc w:val="center"/>
        <w:rPr>
          <w:rFonts w:hint="eastAsia" w:ascii="宋体" w:hAnsi="宋体"/>
          <w:b/>
          <w:sz w:val="32"/>
          <w:szCs w:val="30"/>
        </w:rPr>
      </w:pPr>
    </w:p>
    <w:p w14:paraId="1740DF59">
      <w:pPr>
        <w:ind w:firstLine="630"/>
        <w:jc w:val="center"/>
        <w:rPr>
          <w:rFonts w:hint="eastAsia" w:ascii="Calibri" w:hAnsi="Calibri"/>
          <w:sz w:val="32"/>
          <w:szCs w:val="32"/>
        </w:rPr>
      </w:pPr>
    </w:p>
    <w:p w14:paraId="11138BE8">
      <w:pPr>
        <w:ind w:firstLine="630"/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一、部门主要职能</w:t>
      </w:r>
    </w:p>
    <w:p w14:paraId="354AC4B5">
      <w:pPr>
        <w:ind w:firstLine="640" w:firstLineChars="200"/>
        <w:rPr>
          <w:rFonts w:hint="eastAsia" w:ascii="仿宋_GB2312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军供站</w:t>
      </w:r>
      <w:r>
        <w:rPr>
          <w:rFonts w:hint="eastAsia" w:ascii="仿宋_GB2312" w:hAnsi="宋体" w:eastAsia="仿宋_GB2312" w:cs="仿宋_GB2312"/>
          <w:sz w:val="32"/>
          <w:szCs w:val="32"/>
        </w:rPr>
        <w:t>是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市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退役军人事务局的下属单位</w:t>
      </w:r>
      <w:r>
        <w:rPr>
          <w:rFonts w:hint="eastAsia" w:ascii="仿宋_GB2312" w:hAnsi="宋体" w:eastAsia="仿宋_GB2312" w:cs="仿宋_GB2312"/>
          <w:sz w:val="32"/>
          <w:szCs w:val="32"/>
        </w:rPr>
        <w:t>，主要职责是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负责过往部队、新老兵的饮食、饮水和住宿。</w:t>
      </w:r>
    </w:p>
    <w:p w14:paraId="1BC30BB4">
      <w:pPr>
        <w:ind w:firstLine="630"/>
        <w:jc w:val="left"/>
        <w:rPr>
          <w:rFonts w:hint="eastAsia"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二、部门基本情况</w:t>
      </w:r>
    </w:p>
    <w:p w14:paraId="68F1B9B2">
      <w:pPr>
        <w:ind w:firstLine="630"/>
        <w:jc w:val="left"/>
        <w:rPr>
          <w:rFonts w:hint="eastAsia" w:ascii="仿宋" w:hAnsi="仿宋" w:eastAsia="仿宋" w:cs="Times New Roman"/>
          <w:color w:val="auto"/>
          <w:sz w:val="30"/>
          <w:szCs w:val="30"/>
        </w:rPr>
      </w:pPr>
      <w:r>
        <w:rPr>
          <w:rFonts w:hint="eastAsia" w:ascii="仿宋" w:hAnsi="仿宋" w:eastAsia="仿宋"/>
          <w:color w:val="auto"/>
          <w:sz w:val="30"/>
          <w:szCs w:val="30"/>
        </w:rPr>
        <w:t>纳入本套部门决算汇编范围的单位共</w:t>
      </w:r>
      <w:r>
        <w:rPr>
          <w:rFonts w:hint="eastAsia" w:ascii="仿宋" w:hAnsi="仿宋" w:eastAsia="仿宋"/>
          <w:color w:val="auto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/>
          <w:color w:val="auto"/>
          <w:sz w:val="30"/>
          <w:szCs w:val="30"/>
        </w:rPr>
        <w:t>个，包括：</w:t>
      </w:r>
      <w:r>
        <w:rPr>
          <w:rFonts w:hint="eastAsia" w:ascii="仿宋" w:hAnsi="仿宋" w:eastAsia="仿宋"/>
          <w:color w:val="auto"/>
          <w:sz w:val="30"/>
          <w:szCs w:val="30"/>
          <w:lang w:val="en-US" w:eastAsia="zh-CN"/>
        </w:rPr>
        <w:t>景德镇军供站本级。</w:t>
      </w:r>
    </w:p>
    <w:p w14:paraId="4150191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/>
          <w:b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2"/>
          <w:sz w:val="28"/>
          <w:szCs w:val="28"/>
          <w:lang w:val="en-US" w:eastAsia="zh-CN" w:bidi="ar-SA"/>
        </w:rPr>
        <w:t>人员编制数为20人，其中事业编制20人。实有人数19人，在职18人。</w:t>
      </w:r>
    </w:p>
    <w:p w14:paraId="0F9D8AD0">
      <w:pPr>
        <w:widowControl/>
        <w:spacing w:line="600" w:lineRule="exact"/>
        <w:jc w:val="both"/>
        <w:rPr>
          <w:rFonts w:hint="eastAsia" w:ascii="宋体" w:hAnsi="宋体"/>
          <w:b/>
          <w:sz w:val="32"/>
          <w:szCs w:val="32"/>
        </w:rPr>
      </w:pPr>
    </w:p>
    <w:p w14:paraId="3B14B524"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第二部分  2020年度部门决算表</w:t>
      </w:r>
    </w:p>
    <w:p w14:paraId="3C5D72E8">
      <w:pPr>
        <w:autoSpaceDE w:val="0"/>
        <w:autoSpaceDN w:val="0"/>
        <w:adjustRightInd w:val="0"/>
        <w:spacing w:line="360" w:lineRule="auto"/>
        <w:jc w:val="left"/>
        <w:rPr>
          <w:rFonts w:hint="eastAsia" w:ascii="Calibri" w:hAnsi="Calibri" w:eastAsia="宋体"/>
          <w:szCs w:val="30"/>
          <w:lang w:eastAsia="zh-CN"/>
        </w:rPr>
      </w:pPr>
      <w:r>
        <w:rPr>
          <w:rFonts w:hint="eastAsia" w:ascii="Calibri" w:hAnsi="Calibri" w:eastAsia="宋体"/>
          <w:szCs w:val="30"/>
          <w:lang w:eastAsia="zh-CN"/>
        </w:rPr>
        <w:drawing>
          <wp:inline distT="0" distB="0" distL="114300" distR="114300">
            <wp:extent cx="5273675" cy="4507230"/>
            <wp:effectExtent l="0" t="0" r="3175" b="7620"/>
            <wp:docPr id="1" name="图片 1" descr="163385607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633856076(1)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450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50CD6">
      <w:pPr>
        <w:pStyle w:val="3"/>
        <w:rPr>
          <w:rFonts w:hint="eastAsia"/>
          <w:lang w:eastAsia="zh-CN"/>
        </w:rPr>
      </w:pPr>
    </w:p>
    <w:p w14:paraId="71101095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30"/>
          <w:lang w:eastAsia="zh-CN"/>
        </w:rPr>
      </w:pPr>
      <w:r>
        <w:rPr>
          <w:rFonts w:hint="eastAsia" w:eastAsia="宋体"/>
          <w:szCs w:val="30"/>
          <w:lang w:eastAsia="zh-CN"/>
        </w:rPr>
        <w:drawing>
          <wp:inline distT="0" distB="0" distL="114300" distR="114300">
            <wp:extent cx="5264150" cy="2338705"/>
            <wp:effectExtent l="0" t="0" r="12700" b="4445"/>
            <wp:docPr id="2" name="图片 2" descr="163385609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633856093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2338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559E48">
      <w:pPr>
        <w:autoSpaceDE w:val="0"/>
        <w:autoSpaceDN w:val="0"/>
        <w:adjustRightInd w:val="0"/>
        <w:spacing w:line="360" w:lineRule="auto"/>
        <w:jc w:val="left"/>
        <w:rPr>
          <w:rFonts w:ascii="仿宋" w:hAnsi="仿宋" w:eastAsia="仿宋" w:cs="仿宋_GB2312"/>
          <w:kern w:val="0"/>
          <w:sz w:val="30"/>
          <w:szCs w:val="30"/>
        </w:rPr>
      </w:pPr>
    </w:p>
    <w:p w14:paraId="372C54D2">
      <w:pPr>
        <w:autoSpaceDE w:val="0"/>
        <w:autoSpaceDN w:val="0"/>
        <w:adjustRightInd w:val="0"/>
        <w:spacing w:line="360" w:lineRule="auto"/>
        <w:jc w:val="left"/>
        <w:rPr>
          <w:rFonts w:hint="eastAsia" w:ascii="仿宋" w:hAnsi="仿宋" w:eastAsia="仿宋" w:cs="仿宋_GB2312"/>
          <w:kern w:val="0"/>
          <w:sz w:val="30"/>
          <w:szCs w:val="30"/>
        </w:rPr>
      </w:pPr>
      <w:r>
        <w:rPr>
          <w:rFonts w:hint="eastAsia" w:ascii="仿宋" w:hAnsi="仿宋" w:eastAsia="仿宋" w:cs="仿宋_GB2312"/>
          <w:kern w:val="0"/>
          <w:sz w:val="30"/>
          <w:szCs w:val="30"/>
        </w:rPr>
        <w:t xml:space="preserve"> </w:t>
      </w:r>
    </w:p>
    <w:p w14:paraId="1068A5EE">
      <w:pPr>
        <w:autoSpaceDE w:val="0"/>
        <w:autoSpaceDN w:val="0"/>
        <w:adjustRightInd w:val="0"/>
        <w:spacing w:line="360" w:lineRule="auto"/>
        <w:jc w:val="left"/>
      </w:pPr>
    </w:p>
    <w:p w14:paraId="0786B468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9230" cy="2686050"/>
            <wp:effectExtent l="0" t="0" r="7620" b="0"/>
            <wp:docPr id="3" name="图片 3" descr="163385610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633856107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86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D4D59">
      <w:pPr>
        <w:autoSpaceDE w:val="0"/>
        <w:autoSpaceDN w:val="0"/>
        <w:adjustRightInd w:val="0"/>
        <w:spacing w:line="360" w:lineRule="auto"/>
        <w:jc w:val="left"/>
      </w:pPr>
    </w:p>
    <w:p w14:paraId="1979C9AF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2880" cy="3436620"/>
            <wp:effectExtent l="0" t="0" r="13970" b="11430"/>
            <wp:docPr id="4" name="图片 4" descr="163385611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633856118(1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3436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63A0B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lang w:eastAsia="zh-CN"/>
        </w:rPr>
      </w:pPr>
    </w:p>
    <w:p w14:paraId="5618211D"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</w:p>
    <w:p w14:paraId="617F4CE6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22"/>
          <w:lang w:eastAsia="zh-CN"/>
        </w:rPr>
      </w:pPr>
      <w:r>
        <w:rPr>
          <w:rFonts w:hint="eastAsia" w:eastAsia="宋体"/>
          <w:szCs w:val="22"/>
          <w:lang w:eastAsia="zh-CN"/>
        </w:rPr>
        <w:drawing>
          <wp:inline distT="0" distB="0" distL="114300" distR="114300">
            <wp:extent cx="5267960" cy="3919855"/>
            <wp:effectExtent l="0" t="0" r="8890" b="4445"/>
            <wp:docPr id="5" name="图片 5" descr="1633856133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633856133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9198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2763C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8595" cy="7437755"/>
            <wp:effectExtent l="0" t="0" r="8255" b="10795"/>
            <wp:docPr id="6" name="图片 6" descr="163385614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633856148(1)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37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83796E"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</w:p>
    <w:p w14:paraId="67D533CF"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</w:p>
    <w:p w14:paraId="6C9B28E9">
      <w:pPr>
        <w:autoSpaceDE w:val="0"/>
        <w:autoSpaceDN w:val="0"/>
        <w:adjustRightInd w:val="0"/>
        <w:spacing w:line="360" w:lineRule="auto"/>
        <w:jc w:val="left"/>
        <w:rPr>
          <w:szCs w:val="30"/>
        </w:rPr>
      </w:pPr>
    </w:p>
    <w:p w14:paraId="516C939A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30"/>
          <w:lang w:eastAsia="zh-CN"/>
        </w:rPr>
      </w:pPr>
      <w:r>
        <w:rPr>
          <w:rFonts w:hint="eastAsia" w:eastAsia="宋体"/>
          <w:szCs w:val="30"/>
          <w:lang w:eastAsia="zh-CN"/>
        </w:rPr>
        <w:drawing>
          <wp:inline distT="0" distB="0" distL="114300" distR="114300">
            <wp:extent cx="5273040" cy="4458335"/>
            <wp:effectExtent l="0" t="0" r="3810" b="18415"/>
            <wp:docPr id="7" name="图片 7" descr="163385618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633856184(1)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4458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236840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30"/>
          <w:lang w:eastAsia="zh-CN"/>
        </w:rPr>
      </w:pPr>
      <w:r>
        <w:rPr>
          <w:rFonts w:hint="eastAsia" w:eastAsia="宋体"/>
          <w:szCs w:val="30"/>
          <w:lang w:eastAsia="zh-CN"/>
        </w:rPr>
        <w:drawing>
          <wp:inline distT="0" distB="0" distL="114300" distR="114300">
            <wp:extent cx="5271135" cy="1848485"/>
            <wp:effectExtent l="0" t="0" r="5715" b="18415"/>
            <wp:docPr id="8" name="图片 8" descr="1633856207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633856207(1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1848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4AC61">
      <w:pPr>
        <w:pStyle w:val="2"/>
        <w:rPr>
          <w:rFonts w:hint="eastAsia"/>
          <w:lang w:eastAsia="zh-CN"/>
        </w:rPr>
      </w:pPr>
      <w:r>
        <w:rPr>
          <w:rFonts w:hint="eastAsia"/>
          <w:szCs w:val="30"/>
          <w:lang w:eastAsia="zh-CN"/>
        </w:rPr>
        <w:t>说明：本</w:t>
      </w:r>
      <w:r>
        <w:rPr>
          <w:rFonts w:hint="eastAsia"/>
          <w:szCs w:val="30"/>
          <w:lang w:val="en-US" w:eastAsia="zh-CN"/>
        </w:rPr>
        <w:t>单位</w:t>
      </w:r>
      <w:r>
        <w:rPr>
          <w:rFonts w:hint="eastAsia"/>
          <w:szCs w:val="30"/>
          <w:lang w:eastAsia="zh-CN"/>
        </w:rPr>
        <w:t>无政府性基金预算财政拨款收入</w:t>
      </w:r>
      <w:r>
        <w:rPr>
          <w:rFonts w:hint="eastAsia"/>
          <w:szCs w:val="30"/>
          <w:lang w:val="en-US" w:eastAsia="zh-CN"/>
        </w:rPr>
        <w:t>支出情况</w:t>
      </w:r>
    </w:p>
    <w:p w14:paraId="36EAD47F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30"/>
          <w:lang w:eastAsia="zh-CN"/>
        </w:rPr>
      </w:pPr>
    </w:p>
    <w:p w14:paraId="6E45786C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22"/>
          <w:lang w:eastAsia="zh-CN"/>
        </w:rPr>
      </w:pPr>
    </w:p>
    <w:p w14:paraId="0C30C5ED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67960" cy="1530350"/>
            <wp:effectExtent l="0" t="0" r="8890" b="12700"/>
            <wp:docPr id="9" name="图片 9" descr="163385622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633856221(1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153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A3D80">
      <w:pPr>
        <w:autoSpaceDE w:val="0"/>
        <w:autoSpaceDN w:val="0"/>
        <w:adjustRightInd w:val="0"/>
        <w:spacing w:line="360" w:lineRule="auto"/>
        <w:jc w:val="left"/>
        <w:rPr>
          <w:rFonts w:hint="eastAsia" w:eastAsia="宋体"/>
          <w:szCs w:val="30"/>
          <w:lang w:eastAsia="zh-CN"/>
        </w:rPr>
      </w:pPr>
      <w:r>
        <w:rPr>
          <w:rFonts w:hint="eastAsia"/>
          <w:szCs w:val="22"/>
          <w:lang w:eastAsia="zh-CN"/>
        </w:rPr>
        <w:t>说明：本</w:t>
      </w:r>
      <w:r>
        <w:rPr>
          <w:rFonts w:hint="eastAsia"/>
          <w:szCs w:val="22"/>
          <w:lang w:val="en-US" w:eastAsia="zh-CN"/>
        </w:rPr>
        <w:t>单位</w:t>
      </w:r>
      <w:r>
        <w:rPr>
          <w:rFonts w:hint="eastAsia"/>
          <w:szCs w:val="22"/>
          <w:lang w:eastAsia="zh-CN"/>
        </w:rPr>
        <w:t>无国有资本经营预算财政拨款支出</w:t>
      </w:r>
      <w:r>
        <w:rPr>
          <w:rFonts w:hint="eastAsia"/>
          <w:szCs w:val="22"/>
          <w:lang w:val="en-US" w:eastAsia="zh-CN"/>
        </w:rPr>
        <w:t>情况</w:t>
      </w:r>
    </w:p>
    <w:p w14:paraId="06517EF9">
      <w:pPr>
        <w:pStyle w:val="2"/>
        <w:rPr>
          <w:rFonts w:hint="eastAsia"/>
          <w:lang w:eastAsia="zh-CN"/>
        </w:rPr>
      </w:pPr>
    </w:p>
    <w:p w14:paraId="63946A84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/>
          <w:b/>
          <w:sz w:val="32"/>
          <w:szCs w:val="32"/>
          <w:lang w:eastAsia="zh-CN"/>
        </w:rPr>
      </w:pPr>
      <w:r>
        <w:rPr>
          <w:rFonts w:hint="eastAsia" w:ascii="宋体" w:hAnsi="宋体" w:eastAsia="宋体"/>
          <w:b/>
          <w:sz w:val="32"/>
          <w:szCs w:val="32"/>
          <w:lang w:eastAsia="zh-CN"/>
        </w:rPr>
        <w:drawing>
          <wp:inline distT="0" distB="0" distL="114300" distR="114300">
            <wp:extent cx="5269230" cy="2931160"/>
            <wp:effectExtent l="0" t="0" r="7620" b="2540"/>
            <wp:docPr id="10" name="图片 10" descr="163385625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633856251(1)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93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C18E4"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 w14:paraId="3096838C">
      <w:pPr>
        <w:widowControl/>
        <w:spacing w:line="600" w:lineRule="exact"/>
        <w:ind w:firstLine="640"/>
        <w:jc w:val="center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宋体" w:hAnsi="宋体"/>
          <w:b/>
          <w:sz w:val="32"/>
          <w:szCs w:val="32"/>
        </w:rPr>
        <w:t>第三部分  2020年度部门决算情况说明</w:t>
      </w:r>
    </w:p>
    <w:p w14:paraId="2A843C78">
      <w:pPr>
        <w:ind w:firstLine="63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一、收入决算情况说明</w:t>
      </w:r>
    </w:p>
    <w:p w14:paraId="0990A259">
      <w:pPr>
        <w:ind w:firstLine="63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本部门2020年度收入总计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481.63</w:t>
      </w:r>
      <w:r>
        <w:rPr>
          <w:rFonts w:hint="eastAsia" w:ascii="仿宋_GB2312" w:hAnsi="仿宋" w:eastAsia="仿宋_GB2312"/>
          <w:sz w:val="32"/>
          <w:szCs w:val="32"/>
        </w:rPr>
        <w:t>万元，其中年初结转和结余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148.44</w:t>
      </w:r>
      <w:r>
        <w:rPr>
          <w:rFonts w:hint="eastAsia" w:ascii="仿宋_GB2312" w:hAnsi="仿宋" w:eastAsia="仿宋_GB2312"/>
          <w:sz w:val="32"/>
          <w:szCs w:val="32"/>
        </w:rPr>
        <w:t>万元，较2019年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107.83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72.64</w:t>
      </w:r>
      <w:r>
        <w:rPr>
          <w:rFonts w:hint="eastAsia" w:ascii="仿宋_GB2312" w:hAnsi="仿宋" w:eastAsia="仿宋_GB2312"/>
          <w:sz w:val="32"/>
          <w:szCs w:val="32"/>
        </w:rPr>
        <w:t>%；本年收入合计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333.19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较2019年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4.7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元，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1.41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%，主要原因是：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财政拨款增加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</w:t>
      </w:r>
    </w:p>
    <w:p w14:paraId="21630521">
      <w:pPr>
        <w:ind w:firstLine="63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本年收入的具体构成为：财政拨款收入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265.42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79.67</w:t>
      </w:r>
      <w:r>
        <w:rPr>
          <w:rFonts w:hint="eastAsia" w:ascii="仿宋_GB2312" w:hAnsi="仿宋" w:eastAsia="仿宋_GB2312"/>
          <w:sz w:val="32"/>
          <w:szCs w:val="32"/>
        </w:rPr>
        <w:t>%；事业收入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%；经营收入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%；其他收入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67.77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20.33</w:t>
      </w:r>
      <w:r>
        <w:rPr>
          <w:rFonts w:hint="eastAsia" w:ascii="仿宋_GB2312" w:hAnsi="仿宋" w:eastAsia="仿宋_GB2312"/>
          <w:sz w:val="32"/>
          <w:szCs w:val="32"/>
        </w:rPr>
        <w:t xml:space="preserve">%。  </w:t>
      </w:r>
    </w:p>
    <w:p w14:paraId="23021E48">
      <w:pPr>
        <w:ind w:firstLine="63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二、支出决算情况说明</w:t>
      </w:r>
    </w:p>
    <w:p w14:paraId="683E477E">
      <w:pPr>
        <w:ind w:firstLine="63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本部门2020年度支出总计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481.63</w:t>
      </w:r>
      <w:r>
        <w:rPr>
          <w:rFonts w:hint="eastAsia" w:ascii="仿宋_GB2312" w:hAnsi="仿宋" w:eastAsia="仿宋_GB2312"/>
          <w:sz w:val="32"/>
          <w:szCs w:val="32"/>
        </w:rPr>
        <w:t>万元，其中本年支出合计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465.62</w:t>
      </w:r>
      <w:r>
        <w:rPr>
          <w:rFonts w:hint="eastAsia" w:ascii="仿宋_GB2312" w:hAnsi="仿宋" w:eastAsia="仿宋_GB2312"/>
          <w:sz w:val="32"/>
          <w:szCs w:val="32"/>
        </w:rPr>
        <w:t>万元，较2019年增加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244.97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52.61</w:t>
      </w:r>
      <w:r>
        <w:rPr>
          <w:rFonts w:hint="eastAsia" w:ascii="仿宋_GB2312" w:hAnsi="仿宋" w:eastAsia="仿宋_GB2312"/>
          <w:sz w:val="32"/>
          <w:szCs w:val="32"/>
        </w:rPr>
        <w:t>%，主要原因是：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支付之前年度未完成项目资金，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eastAsia="zh-CN"/>
        </w:rPr>
        <w:t>发放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2020年政府绩效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eastAsia="zh-CN"/>
        </w:rPr>
        <w:t>奖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，故支出有所增加；</w:t>
      </w:r>
      <w:r>
        <w:rPr>
          <w:rFonts w:hint="eastAsia" w:ascii="仿宋_GB2312" w:hAnsi="仿宋" w:eastAsia="仿宋_GB2312"/>
          <w:sz w:val="32"/>
          <w:szCs w:val="32"/>
        </w:rPr>
        <w:t>年末结转和结余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16.02</w:t>
      </w:r>
      <w:r>
        <w:rPr>
          <w:rFonts w:hint="eastAsia" w:ascii="仿宋_GB2312" w:hAnsi="仿宋" w:eastAsia="仿宋_GB2312"/>
          <w:sz w:val="32"/>
          <w:szCs w:val="32"/>
        </w:rPr>
        <w:t>万元，较2019年减少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132.42</w:t>
      </w:r>
      <w:r>
        <w:rPr>
          <w:rFonts w:hint="eastAsia" w:ascii="仿宋_GB2312" w:hAnsi="仿宋" w:eastAsia="仿宋_GB2312"/>
          <w:sz w:val="32"/>
          <w:szCs w:val="32"/>
        </w:rPr>
        <w:t>万元，下降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89.2</w:t>
      </w:r>
      <w:r>
        <w:rPr>
          <w:rFonts w:hint="eastAsia" w:ascii="仿宋_GB2312" w:hAnsi="仿宋" w:eastAsia="仿宋_GB2312"/>
          <w:sz w:val="32"/>
          <w:szCs w:val="32"/>
        </w:rPr>
        <w:t>%，主要原因是：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年末结转和结余减少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7B63FC3">
      <w:pPr>
        <w:ind w:firstLine="63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本年支出的具体构成为：基本支出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442.19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94.96</w:t>
      </w:r>
      <w:r>
        <w:rPr>
          <w:rFonts w:hint="eastAsia" w:ascii="仿宋_GB2312" w:hAnsi="仿宋" w:eastAsia="仿宋_GB2312"/>
          <w:sz w:val="32"/>
          <w:szCs w:val="32"/>
        </w:rPr>
        <w:t>%；项目支出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23.42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5.04</w:t>
      </w:r>
      <w:r>
        <w:rPr>
          <w:rFonts w:hint="eastAsia" w:ascii="仿宋_GB2312" w:hAnsi="仿宋" w:eastAsia="仿宋_GB2312"/>
          <w:sz w:val="32"/>
          <w:szCs w:val="32"/>
        </w:rPr>
        <w:t>%；经营支出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%；其他支出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523CEAE7">
      <w:pPr>
        <w:ind w:firstLine="63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三、财政拨款支出决算情况说明</w:t>
      </w:r>
    </w:p>
    <w:p w14:paraId="64AB28CC">
      <w:pPr>
        <w:ind w:firstLine="63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本部门2020年度财政拨款本年支出年初预算数为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205.06</w:t>
      </w:r>
      <w:r>
        <w:rPr>
          <w:rFonts w:hint="eastAsia" w:ascii="仿宋_GB2312" w:hAnsi="仿宋" w:eastAsia="仿宋_GB2312"/>
          <w:sz w:val="32"/>
          <w:szCs w:val="32"/>
        </w:rPr>
        <w:t>万元，决算数为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465.62</w:t>
      </w:r>
      <w:r>
        <w:rPr>
          <w:rFonts w:hint="eastAsia" w:ascii="仿宋_GB2312" w:hAnsi="仿宋" w:eastAsia="仿宋_GB2312"/>
          <w:sz w:val="32"/>
          <w:szCs w:val="32"/>
        </w:rPr>
        <w:t>万元，完成年初预算的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227.06</w:t>
      </w:r>
      <w:r>
        <w:rPr>
          <w:rFonts w:hint="eastAsia" w:ascii="仿宋_GB2312" w:hAnsi="仿宋" w:eastAsia="仿宋_GB2312"/>
          <w:sz w:val="32"/>
          <w:szCs w:val="32"/>
        </w:rPr>
        <w:t>%。其中：</w:t>
      </w:r>
    </w:p>
    <w:p w14:paraId="61AD2A15">
      <w:pPr>
        <w:ind w:firstLine="63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（一）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社会保障和就业支出</w:t>
      </w:r>
      <w:r>
        <w:rPr>
          <w:rFonts w:hint="eastAsia" w:ascii="仿宋_GB2312" w:hAnsi="仿宋" w:eastAsia="仿宋_GB2312"/>
          <w:sz w:val="32"/>
          <w:szCs w:val="32"/>
        </w:rPr>
        <w:t>年初预算数为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172.41</w:t>
      </w:r>
      <w:r>
        <w:rPr>
          <w:rFonts w:hint="eastAsia" w:ascii="仿宋_GB2312" w:hAnsi="仿宋" w:eastAsia="仿宋_GB2312"/>
          <w:sz w:val="32"/>
          <w:szCs w:val="32"/>
        </w:rPr>
        <w:t>万元，决算数为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432.97</w:t>
      </w:r>
      <w:r>
        <w:rPr>
          <w:rFonts w:hint="eastAsia" w:ascii="仿宋_GB2312" w:hAnsi="仿宋" w:eastAsia="仿宋_GB2312"/>
          <w:sz w:val="32"/>
          <w:szCs w:val="32"/>
        </w:rPr>
        <w:t>万元，完成年初预算的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251.12</w:t>
      </w:r>
      <w:r>
        <w:rPr>
          <w:rFonts w:hint="eastAsia" w:ascii="仿宋_GB2312" w:hAnsi="仿宋" w:eastAsia="仿宋_GB2312"/>
          <w:sz w:val="32"/>
          <w:szCs w:val="32"/>
        </w:rPr>
        <w:t>%，主要原因是：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支付之前年度未完成项目资金，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eastAsia="zh-CN"/>
        </w:rPr>
        <w:t>发放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</w:rPr>
        <w:t>2020年政府绩效</w:t>
      </w:r>
      <w:r>
        <w:rPr>
          <w:rFonts w:hint="eastAsia" w:ascii="仿宋_GB2312" w:hAnsi="仿宋" w:eastAsia="仿宋_GB2312" w:cs="Times New Roman"/>
          <w:color w:val="auto"/>
          <w:sz w:val="32"/>
          <w:szCs w:val="32"/>
          <w:lang w:eastAsia="zh-CN"/>
        </w:rPr>
        <w:t>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9552D7D">
      <w:pPr>
        <w:ind w:firstLine="63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二</w:t>
      </w:r>
      <w:r>
        <w:rPr>
          <w:rFonts w:hint="eastAsia" w:ascii="仿宋_GB2312" w:hAnsi="仿宋" w:eastAsia="仿宋_GB2312"/>
          <w:sz w:val="32"/>
          <w:szCs w:val="32"/>
        </w:rPr>
        <w:t>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卫生健康支出</w:t>
      </w:r>
      <w:r>
        <w:rPr>
          <w:rFonts w:hint="eastAsia" w:ascii="仿宋_GB2312" w:hAnsi="仿宋" w:eastAsia="仿宋_GB2312"/>
          <w:sz w:val="32"/>
          <w:szCs w:val="32"/>
        </w:rPr>
        <w:t>年初预算数为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19.44</w:t>
      </w:r>
      <w:r>
        <w:rPr>
          <w:rFonts w:hint="eastAsia" w:ascii="仿宋_GB2312" w:hAnsi="仿宋" w:eastAsia="仿宋_GB2312"/>
          <w:sz w:val="32"/>
          <w:szCs w:val="32"/>
        </w:rPr>
        <w:t>万元，决算数为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19.44</w:t>
      </w:r>
      <w:r>
        <w:rPr>
          <w:rFonts w:hint="eastAsia" w:ascii="仿宋_GB2312" w:hAnsi="仿宋" w:eastAsia="仿宋_GB2312"/>
          <w:sz w:val="32"/>
          <w:szCs w:val="32"/>
        </w:rPr>
        <w:t>万元，完成年初预算的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按预算支出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083BA6AA">
      <w:pPr>
        <w:ind w:firstLine="630"/>
        <w:jc w:val="left"/>
        <w:rPr>
          <w:rFonts w:hint="eastAsia"/>
        </w:rPr>
      </w:pPr>
      <w:r>
        <w:rPr>
          <w:rFonts w:hint="eastAsia" w:ascii="仿宋_GB2312" w:hAnsi="仿宋" w:eastAsia="仿宋_GB2312"/>
          <w:sz w:val="32"/>
          <w:szCs w:val="32"/>
        </w:rPr>
        <w:t>（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三</w:t>
      </w:r>
      <w:r>
        <w:rPr>
          <w:rFonts w:hint="eastAsia" w:ascii="仿宋_GB2312" w:hAnsi="仿宋" w:eastAsia="仿宋_GB2312"/>
          <w:sz w:val="32"/>
          <w:szCs w:val="32"/>
        </w:rPr>
        <w:t>）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住房保障支出</w:t>
      </w:r>
      <w:r>
        <w:rPr>
          <w:rFonts w:hint="eastAsia" w:ascii="仿宋_GB2312" w:hAnsi="仿宋" w:eastAsia="仿宋_GB2312"/>
          <w:sz w:val="32"/>
          <w:szCs w:val="32"/>
        </w:rPr>
        <w:t>年初预算数为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13.21</w:t>
      </w:r>
      <w:r>
        <w:rPr>
          <w:rFonts w:hint="eastAsia" w:ascii="仿宋_GB2312" w:hAnsi="仿宋" w:eastAsia="仿宋_GB2312"/>
          <w:sz w:val="32"/>
          <w:szCs w:val="32"/>
        </w:rPr>
        <w:t>万元，决算数为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13.21</w:t>
      </w:r>
      <w:r>
        <w:rPr>
          <w:rFonts w:hint="eastAsia" w:ascii="仿宋_GB2312" w:hAnsi="仿宋" w:eastAsia="仿宋_GB2312"/>
          <w:sz w:val="32"/>
          <w:szCs w:val="32"/>
        </w:rPr>
        <w:t>万元，完成年初预算的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%，主要原因是：</w:t>
      </w:r>
      <w:r>
        <w:rPr>
          <w:rFonts w:hint="eastAsia" w:ascii="仿宋" w:hAnsi="仿宋" w:eastAsia="仿宋"/>
          <w:sz w:val="30"/>
          <w:szCs w:val="30"/>
          <w:lang w:eastAsia="zh-CN"/>
        </w:rPr>
        <w:t>按预算支出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135E3B1">
      <w:pPr>
        <w:ind w:firstLine="63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四、一般公共预算财政拨款基本支出决算情况说明</w:t>
      </w:r>
    </w:p>
    <w:p w14:paraId="2A178FD4">
      <w:pPr>
        <w:ind w:firstLine="585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本部门2020年度一般公共预算财政拨款基本支出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390.44</w:t>
      </w:r>
      <w:r>
        <w:rPr>
          <w:rFonts w:hint="eastAsia" w:ascii="仿宋_GB2312" w:hAnsi="仿宋" w:eastAsia="仿宋_GB2312"/>
          <w:sz w:val="32"/>
          <w:szCs w:val="32"/>
        </w:rPr>
        <w:t>万元，其中：</w:t>
      </w:r>
    </w:p>
    <w:p w14:paraId="0CD3A4AA">
      <w:pPr>
        <w:ind w:firstLine="585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（一）工资福利支出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236.26</w:t>
      </w:r>
      <w:r>
        <w:rPr>
          <w:rFonts w:hint="eastAsia" w:ascii="仿宋_GB2312" w:hAnsi="仿宋" w:eastAsia="仿宋_GB2312"/>
          <w:sz w:val="32"/>
          <w:szCs w:val="32"/>
        </w:rPr>
        <w:t>万元，较2019年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129.61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54.85</w:t>
      </w:r>
      <w:r>
        <w:rPr>
          <w:rFonts w:hint="eastAsia" w:ascii="仿宋_GB2312" w:hAnsi="仿宋" w:eastAsia="仿宋_GB2312"/>
          <w:sz w:val="32"/>
          <w:szCs w:val="32"/>
        </w:rPr>
        <w:t>%，主要原因是：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人员晋级调资，发放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2020年绩效奖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48999CFE">
      <w:pPr>
        <w:ind w:firstLine="585"/>
        <w:jc w:val="left"/>
        <w:rPr>
          <w:rFonts w:hint="eastAsia"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（二）商品和服务支出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138.47</w:t>
      </w:r>
      <w:r>
        <w:rPr>
          <w:rFonts w:hint="eastAsia" w:ascii="仿宋_GB2312" w:hAnsi="仿宋" w:eastAsia="仿宋_GB2312"/>
          <w:sz w:val="32"/>
          <w:szCs w:val="32"/>
        </w:rPr>
        <w:t>万元，较2019年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117.46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84.82</w:t>
      </w:r>
      <w:r>
        <w:rPr>
          <w:rFonts w:hint="eastAsia" w:ascii="仿宋_GB2312" w:hAnsi="仿宋" w:eastAsia="仿宋_GB2312"/>
          <w:sz w:val="32"/>
          <w:szCs w:val="32"/>
        </w:rPr>
        <w:t>%，主要原因是：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支付之前年度未完成验收维修工程资金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</w:p>
    <w:p w14:paraId="382E06A7">
      <w:pPr>
        <w:ind w:firstLine="585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（三）对个人和家庭补助支出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6.04</w:t>
      </w:r>
      <w:r>
        <w:rPr>
          <w:rFonts w:hint="eastAsia" w:ascii="仿宋_GB2312" w:hAnsi="仿宋" w:eastAsia="仿宋_GB2312"/>
          <w:sz w:val="32"/>
          <w:szCs w:val="32"/>
        </w:rPr>
        <w:t>万元，较2019年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6.04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对个人和家庭补助支出增加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65D00ACF">
      <w:pPr>
        <w:ind w:firstLine="585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（四）资本性支出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9.67</w:t>
      </w:r>
      <w:r>
        <w:rPr>
          <w:rFonts w:hint="eastAsia" w:ascii="仿宋_GB2312" w:hAnsi="仿宋" w:eastAsia="仿宋_GB2312"/>
          <w:sz w:val="32"/>
          <w:szCs w:val="32"/>
        </w:rPr>
        <w:t>万元，较2019年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9.67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新购办公设备及家具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170843AC">
      <w:pPr>
        <w:ind w:firstLine="63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五、一般公共预算财政拨款“三公”经费支出决算情况说明</w:t>
      </w:r>
    </w:p>
    <w:p w14:paraId="1BF2161B">
      <w:pPr>
        <w:ind w:firstLine="63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本部门2020年度一般公共预算财政拨款“三公”经费支出年初预算数为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2.59</w:t>
      </w:r>
      <w:r>
        <w:rPr>
          <w:rFonts w:hint="eastAsia" w:ascii="仿宋_GB2312" w:hAnsi="仿宋" w:eastAsia="仿宋_GB2312"/>
          <w:sz w:val="32"/>
          <w:szCs w:val="32"/>
        </w:rPr>
        <w:t>万元，决算数为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1.25</w:t>
      </w:r>
      <w:r>
        <w:rPr>
          <w:rFonts w:hint="eastAsia" w:ascii="仿宋_GB2312" w:hAnsi="仿宋" w:eastAsia="仿宋_GB2312"/>
          <w:sz w:val="32"/>
          <w:szCs w:val="32"/>
        </w:rPr>
        <w:t>万元，完成预算的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48.26</w:t>
      </w:r>
      <w:r>
        <w:rPr>
          <w:rFonts w:hint="eastAsia" w:ascii="仿宋_GB2312" w:hAnsi="仿宋" w:eastAsia="仿宋_GB2312"/>
          <w:sz w:val="32"/>
          <w:szCs w:val="32"/>
        </w:rPr>
        <w:t>%，决算数较2019年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0.39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23.78</w:t>
      </w:r>
      <w:r>
        <w:rPr>
          <w:rFonts w:hint="eastAsia" w:ascii="仿宋_GB2312" w:hAnsi="仿宋" w:eastAsia="仿宋_GB2312"/>
          <w:sz w:val="32"/>
          <w:szCs w:val="32"/>
        </w:rPr>
        <w:t>%，其中：</w:t>
      </w:r>
    </w:p>
    <w:p w14:paraId="57D010B2">
      <w:pPr>
        <w:ind w:firstLine="63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（一）因公出国（境）支出年初预算数为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万元，决算数为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万元，完成预算的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%，决算数较2019年增加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 xml:space="preserve"> %，主要原因是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无出国支出</w:t>
      </w:r>
      <w:r>
        <w:rPr>
          <w:rFonts w:hint="eastAsia" w:ascii="仿宋_GB2312" w:hAnsi="仿宋" w:eastAsia="仿宋_GB2312"/>
          <w:sz w:val="32"/>
          <w:szCs w:val="32"/>
        </w:rPr>
        <w:t>。决算数较年初预算数增加的主要原因是：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无出国支出</w:t>
      </w:r>
      <w:r>
        <w:rPr>
          <w:rFonts w:hint="eastAsia" w:ascii="仿宋_GB2312" w:hAnsi="仿宋" w:eastAsia="仿宋_GB2312"/>
          <w:sz w:val="32"/>
          <w:szCs w:val="32"/>
        </w:rPr>
        <w:t>。全年安排因公出国（境）团组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个，累计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人次，主要为：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无出国支出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29170684">
      <w:pPr>
        <w:ind w:firstLine="630"/>
        <w:jc w:val="left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（二）公务接待费支出年初预算数为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万元，决算数为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万元，完成预算的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%，决算数较2019年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万元，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%，主要原因是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无接待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。决算数较年初预算数增加的主要原因是：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无接待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。全年国内公务接待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批，累计接待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人次，其中外事接待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批，累计接待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人次。</w:t>
      </w:r>
    </w:p>
    <w:p w14:paraId="7076C20B">
      <w:pPr>
        <w:ind w:firstLine="63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（三）公务用车购置及运行维护费支出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1.25</w:t>
      </w:r>
      <w:r>
        <w:rPr>
          <w:rFonts w:hint="eastAsia" w:ascii="仿宋_GB2312" w:hAnsi="仿宋" w:eastAsia="仿宋_GB2312"/>
          <w:sz w:val="32"/>
          <w:szCs w:val="32"/>
        </w:rPr>
        <w:t>万元，其中公务用车购置年初预算数为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万元，决算数为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万元，完成预算的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%，决算数较2019年增加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万元，增长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无新购置公车支出</w:t>
      </w:r>
      <w:r>
        <w:rPr>
          <w:rFonts w:hint="eastAsia" w:ascii="仿宋_GB2312" w:hAnsi="仿宋" w:eastAsia="仿宋_GB2312"/>
          <w:sz w:val="32"/>
          <w:szCs w:val="32"/>
        </w:rPr>
        <w:t>，全年购置公务用车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辆。决算数较年初预算数增加的主要原因是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无新购置公车支出</w:t>
      </w:r>
      <w:r>
        <w:rPr>
          <w:rFonts w:hint="eastAsia" w:ascii="仿宋_GB2312" w:hAnsi="仿宋" w:eastAsia="仿宋_GB2312"/>
          <w:sz w:val="32"/>
          <w:szCs w:val="32"/>
        </w:rPr>
        <w:t>；公务用车运行维护费支出年初预算数为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2.59</w:t>
      </w:r>
      <w:r>
        <w:rPr>
          <w:rFonts w:hint="eastAsia" w:ascii="仿宋_GB2312" w:hAnsi="仿宋" w:eastAsia="仿宋_GB2312"/>
          <w:sz w:val="32"/>
          <w:szCs w:val="32"/>
        </w:rPr>
        <w:t>万元，决算数为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1.25</w:t>
      </w:r>
      <w:r>
        <w:rPr>
          <w:rFonts w:hint="eastAsia" w:ascii="仿宋_GB2312" w:hAnsi="仿宋" w:eastAsia="仿宋_GB2312"/>
          <w:sz w:val="32"/>
          <w:szCs w:val="32"/>
        </w:rPr>
        <w:t>万元，完成预算的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48.26</w:t>
      </w:r>
      <w:r>
        <w:rPr>
          <w:rFonts w:hint="eastAsia" w:ascii="仿宋_GB2312" w:hAnsi="仿宋" w:eastAsia="仿宋_GB2312"/>
          <w:sz w:val="32"/>
          <w:szCs w:val="32"/>
        </w:rPr>
        <w:t>%，决算数较2019年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0.39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减少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23.78</w:t>
      </w:r>
      <w:r>
        <w:rPr>
          <w:rFonts w:hint="eastAsia" w:ascii="仿宋_GB2312" w:hAnsi="仿宋" w:eastAsia="仿宋_GB2312"/>
          <w:sz w:val="32"/>
          <w:szCs w:val="32"/>
        </w:rPr>
        <w:t>%，主要原因是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厉行节约，减少公车出行次数</w:t>
      </w:r>
      <w:r>
        <w:rPr>
          <w:rFonts w:hint="eastAsia" w:ascii="仿宋_GB2312" w:hAnsi="仿宋" w:eastAsia="仿宋_GB2312"/>
          <w:sz w:val="32"/>
          <w:szCs w:val="32"/>
        </w:rPr>
        <w:t>，年末公务用车保有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辆。决算数较年初预算数增加的主要原因是：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厉行节约，减少公车出行次数</w:t>
      </w:r>
      <w:r>
        <w:rPr>
          <w:rFonts w:hint="eastAsia" w:ascii="仿宋_GB2312" w:hAnsi="仿宋" w:eastAsia="仿宋_GB2312"/>
          <w:sz w:val="32"/>
          <w:szCs w:val="32"/>
        </w:rPr>
        <w:t>。</w:t>
      </w:r>
    </w:p>
    <w:p w14:paraId="3388ADC9">
      <w:pPr>
        <w:ind w:firstLine="63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六、机关运行经费支出情况说明</w:t>
      </w:r>
    </w:p>
    <w:p w14:paraId="2B39CFA3">
      <w:pPr>
        <w:ind w:firstLine="585"/>
        <w:jc w:val="left"/>
        <w:rPr>
          <w:rFonts w:hint="eastAsia"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本部门2020年度机关运行经费支出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148.14</w:t>
      </w:r>
      <w:r>
        <w:rPr>
          <w:rFonts w:hint="eastAsia" w:ascii="仿宋_GB2312" w:hAnsi="仿宋" w:eastAsia="仿宋_GB2312"/>
          <w:sz w:val="32"/>
          <w:szCs w:val="32"/>
        </w:rPr>
        <w:t>万元，较上年决算数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127.13</w:t>
      </w:r>
      <w:r>
        <w:rPr>
          <w:rFonts w:hint="eastAsia" w:ascii="仿宋_GB2312" w:hAnsi="仿宋" w:eastAsia="仿宋_GB2312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增加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85.81</w:t>
      </w:r>
      <w:r>
        <w:rPr>
          <w:rFonts w:hint="eastAsia" w:ascii="仿宋_GB2312" w:hAnsi="仿宋" w:eastAsia="仿宋_GB2312"/>
          <w:sz w:val="32"/>
          <w:szCs w:val="32"/>
        </w:rPr>
        <w:t>%，主要原因是：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支付之前年度未完成验收维修工程资金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</w:p>
    <w:p w14:paraId="43442645">
      <w:pPr>
        <w:ind w:firstLine="63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七、政府采购支出情况说明</w:t>
      </w:r>
    </w:p>
    <w:p w14:paraId="08D3C963">
      <w:pPr>
        <w:pStyle w:val="7"/>
        <w:spacing w:line="600" w:lineRule="atLeast"/>
        <w:ind w:firstLine="6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本部门2020年度政府采购支出总额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9.67</w:t>
      </w:r>
      <w:r>
        <w:rPr>
          <w:rFonts w:hint="eastAsia" w:ascii="仿宋_GB2312" w:hAnsi="仿宋" w:eastAsia="仿宋_GB2312"/>
          <w:sz w:val="32"/>
          <w:szCs w:val="32"/>
        </w:rPr>
        <w:t>万元，其中：政府采购货物支出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万元、政府采购工程支出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万元、政府采购服务支出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万元。授予中小企业合同金额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万元，占政府采购支出总额的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%，其中：授予小微企业合同金额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9.67</w:t>
      </w:r>
      <w:r>
        <w:rPr>
          <w:rFonts w:hint="eastAsia" w:ascii="仿宋_GB2312" w:hAnsi="仿宋" w:eastAsia="仿宋_GB2312"/>
          <w:sz w:val="32"/>
          <w:szCs w:val="32"/>
        </w:rPr>
        <w:t>万元，占政府采购支出总额的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" w:eastAsia="仿宋_GB2312"/>
          <w:sz w:val="32"/>
          <w:szCs w:val="32"/>
        </w:rPr>
        <w:t>%。</w:t>
      </w:r>
    </w:p>
    <w:p w14:paraId="2573A84C">
      <w:pPr>
        <w:ind w:firstLine="63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八、国有资产占用情况说明</w:t>
      </w:r>
    </w:p>
    <w:p w14:paraId="6D17D09D">
      <w:pPr>
        <w:ind w:firstLine="630"/>
        <w:jc w:val="left"/>
        <w:rPr>
          <w:rFonts w:hint="eastAsia" w:ascii="仿宋_GB2312" w:hAnsi="仿宋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kern w:val="0"/>
          <w:sz w:val="32"/>
          <w:szCs w:val="32"/>
        </w:rPr>
        <w:t>截</w:t>
      </w:r>
      <w:r>
        <w:rPr>
          <w:rFonts w:hint="eastAsia" w:ascii="仿宋_GB2312" w:hAnsi="仿宋" w:eastAsia="仿宋_GB2312"/>
          <w:kern w:val="0"/>
          <w:sz w:val="32"/>
          <w:szCs w:val="32"/>
          <w:lang w:val="en-US" w:eastAsia="zh-CN"/>
        </w:rPr>
        <w:t>至</w:t>
      </w:r>
      <w:bookmarkStart w:id="1" w:name="_GoBack"/>
      <w:bookmarkEnd w:id="1"/>
      <w:r>
        <w:rPr>
          <w:rFonts w:hint="eastAsia" w:ascii="仿宋_GB2312" w:hAnsi="仿宋" w:eastAsia="仿宋_GB2312"/>
          <w:kern w:val="0"/>
          <w:sz w:val="32"/>
          <w:szCs w:val="32"/>
        </w:rPr>
        <w:t>2020年12月31日，本部门（单位）国有资产占用情况见公开10表《国有资产占用情况表</w:t>
      </w:r>
      <w:r>
        <w:rPr>
          <w:rFonts w:hint="eastAsia" w:ascii="仿宋_GB2312" w:hAnsi="仿宋" w:eastAsia="仿宋_GB2312"/>
          <w:kern w:val="0"/>
          <w:sz w:val="32"/>
          <w:szCs w:val="32"/>
          <w:lang w:eastAsia="zh-CN"/>
        </w:rPr>
        <w:t>》。</w:t>
      </w:r>
      <w:r>
        <w:rPr>
          <w:rFonts w:hint="eastAsia" w:ascii="仿宋" w:hAnsi="仿宋" w:eastAsia="仿宋"/>
          <w:kern w:val="0"/>
          <w:sz w:val="30"/>
          <w:szCs w:val="30"/>
        </w:rPr>
        <w:t>其中车辆中的其他用车主要是</w:t>
      </w:r>
      <w:r>
        <w:rPr>
          <w:rFonts w:hint="eastAsia" w:ascii="仿宋" w:hAnsi="仿宋" w:eastAsia="仿宋"/>
          <w:kern w:val="0"/>
          <w:sz w:val="30"/>
          <w:szCs w:val="30"/>
          <w:lang w:val="en-US" w:eastAsia="zh-CN"/>
        </w:rPr>
        <w:t>本部门共有车辆2辆；单位价值50万元以上通用设备0台（套）；单位价值100万元以上专用设备0台（套）。</w:t>
      </w:r>
      <w:r>
        <w:rPr>
          <w:rFonts w:hint="eastAsia" w:ascii="仿宋_GB2312" w:hAnsi="仿宋" w:eastAsia="仿宋_GB2312" w:cs="仿宋_GB2312"/>
          <w:kern w:val="0"/>
          <w:sz w:val="32"/>
          <w:szCs w:val="32"/>
          <w:lang w:eastAsia="zh-CN"/>
        </w:rPr>
        <w:t>本单位无此情况。</w:t>
      </w:r>
    </w:p>
    <w:p w14:paraId="7C9A6292">
      <w:pPr>
        <w:ind w:firstLine="63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九、预算绩效情况说明</w:t>
      </w:r>
      <w:bookmarkStart w:id="0" w:name="_Toc13863_WPSOffice_Level1"/>
    </w:p>
    <w:p w14:paraId="2A17783C">
      <w:pPr>
        <w:pStyle w:val="2"/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(一）绩效管理工作开展情况</w:t>
      </w:r>
    </w:p>
    <w:p w14:paraId="574DBE38">
      <w:pPr>
        <w:pStyle w:val="2"/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根据预算绩效管理要求，我站组织对2020年度一般公共预算项目支出中的二级项目共1个开展绩效自评，涉及资金23.42万元，占一般公共项目支出总额的100%。</w:t>
      </w:r>
    </w:p>
    <w:p w14:paraId="79B51C79">
      <w:pPr>
        <w:pStyle w:val="2"/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组织对“军队供应工作经费”该项目开展了绩效评价，涉及一般公共预算支出20万元，政府性基金预算支出0万元。从评价情况来看，我站项目资金实行项目管理，专款专用，未虚列、挪用、浪费专项资金。建立健全支出内部控制制度和内部稽核、审批、审查制度，把项目资金用到实处，产生实效。</w:t>
      </w:r>
    </w:p>
    <w:p w14:paraId="1E47C495">
      <w:pPr>
        <w:pStyle w:val="2"/>
        <w:numPr>
          <w:ilvl w:val="0"/>
          <w:numId w:val="2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部门决算中项目绩效自评结果</w:t>
      </w:r>
    </w:p>
    <w:p w14:paraId="59B2CD85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我站今年在市级部门决算中反映“军队供应工作经费”该项目的绩效自评结果。</w:t>
      </w:r>
    </w:p>
    <w:p w14:paraId="34DE8B89">
      <w:pPr>
        <w:pStyle w:val="2"/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项目绩效自评综述：根据年初设定的绩效目标，“军队供应工作经费”项目绩效自评得分为100分，项目全年预算数为20万元；项目绩效目标完成情况：一是产出指标完成100%；二是效益指标完成100%；三是满意度指标100%。从评价情况来看，我站项目资金实行项目管理，专款专用，未虚列、挪用、浪费专项资金。建立健全支出内部控制制度和内部稽核、审批、审查制度，把项目资金用到实处，产生实效。</w:t>
      </w:r>
    </w:p>
    <w:p w14:paraId="25B4C216">
      <w:pPr>
        <w:pStyle w:val="2"/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详见附表（项目支出绩效自评表）。</w:t>
      </w:r>
    </w:p>
    <w:p w14:paraId="2C7D7240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drawing>
          <wp:inline distT="0" distB="0" distL="114300" distR="114300">
            <wp:extent cx="5271135" cy="7371080"/>
            <wp:effectExtent l="0" t="0" r="5715" b="1270"/>
            <wp:docPr id="11" name="图片 11" descr="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00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37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14:paraId="7632F534">
      <w:pPr>
        <w:pStyle w:val="2"/>
        <w:numPr>
          <w:ilvl w:val="0"/>
          <w:numId w:val="2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部门评价项目绩效评价结果</w:t>
      </w:r>
    </w:p>
    <w:p w14:paraId="554A4005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“军队供应工作经费”项目支出绩效评价报告</w:t>
      </w:r>
    </w:p>
    <w:p w14:paraId="38FFB679">
      <w:pPr>
        <w:pStyle w:val="2"/>
        <w:numPr>
          <w:ilvl w:val="0"/>
          <w:numId w:val="3"/>
        </w:numPr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基本情况</w:t>
      </w:r>
    </w:p>
    <w:p w14:paraId="72864D12">
      <w:pPr>
        <w:pStyle w:val="2"/>
        <w:numPr>
          <w:ilvl w:val="0"/>
          <w:numId w:val="0"/>
        </w:numP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 xml:space="preserve">    (一）项目概况</w:t>
      </w:r>
    </w:p>
    <w:p w14:paraId="1EFFA119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用于补贴过往部队及新老兵的饮食、饮水、住宿的专项资金。</w:t>
      </w:r>
    </w:p>
    <w:p w14:paraId="01372E32">
      <w:pPr>
        <w:pStyle w:val="2"/>
        <w:numPr>
          <w:ilvl w:val="0"/>
          <w:numId w:val="4"/>
        </w:numPr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项目绩效目标。包括总体目标和阶段性目标。</w:t>
      </w:r>
    </w:p>
    <w:p w14:paraId="6C3048CD">
      <w:pPr>
        <w:pStyle w:val="2"/>
        <w:numPr>
          <w:ilvl w:val="0"/>
          <w:numId w:val="0"/>
        </w:numPr>
        <w:ind w:left="640" w:leftChars="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1.总体目标：圆满完成每一批部队供应任务。</w:t>
      </w:r>
    </w:p>
    <w:p w14:paraId="2921EB45"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2.阶段性目标：专项资金主要用于提高过往部队及新老兵的满意度。</w:t>
      </w:r>
    </w:p>
    <w:p w14:paraId="109B1F00">
      <w:pPr>
        <w:pStyle w:val="2"/>
        <w:numPr>
          <w:ilvl w:val="0"/>
          <w:numId w:val="3"/>
        </w:numPr>
        <w:ind w:left="0" w:leftChars="0"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绩效评价工作开展情况</w:t>
      </w:r>
    </w:p>
    <w:p w14:paraId="1F5B7BF6">
      <w:pPr>
        <w:pStyle w:val="2"/>
        <w:numPr>
          <w:ilvl w:val="0"/>
          <w:numId w:val="5"/>
        </w:numPr>
        <w:ind w:left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绩效评价目的、对象和范围</w:t>
      </w:r>
    </w:p>
    <w:p w14:paraId="6358E3DE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通过项目绩效评价，理清项目资金使用情况，总结经验教训，提高资金使用效率；掌握和了解该项目的实施情况、项目实施效果，为今后项目开展总结经验，使其发挥更大的作用。</w:t>
      </w:r>
    </w:p>
    <w:p w14:paraId="7BE4A097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(二)绩效评价原则、评价指标体系(附表说明)、评价方</w:t>
      </w:r>
    </w:p>
    <w:p w14:paraId="7DC90E74">
      <w:pPr>
        <w:pStyle w:val="2"/>
        <w:numPr>
          <w:ilvl w:val="0"/>
          <w:numId w:val="0"/>
        </w:numPr>
        <w:ind w:left="0" w:leftChars="0" w:firstLine="0" w:firstLineChars="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法、评价标准等。</w:t>
      </w:r>
    </w:p>
    <w:p w14:paraId="04351B9F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本次绩效评价工作遵循以下基本原则开展:</w:t>
      </w:r>
    </w:p>
    <w:p w14:paraId="6EFAF6BA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1.科学规范原则。绩效评价注重财政支出的经济性、效率性和有效性，严格执行规定的程序，采用定量与定性分析相结合的方法。</w:t>
      </w:r>
    </w:p>
    <w:p w14:paraId="5D3C0D9C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2.公正公开原则。绩效评价客观、公正，标准统一、资料可靠，依法公开并接受监督。</w:t>
      </w:r>
    </w:p>
    <w:p w14:paraId="7B9F074A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3.绩效相关原则。绩效评价针对具体支出及其产出绩效进行，评价结果清晰反映支出和产出绩效之间的紧密对应关系。</w:t>
      </w:r>
    </w:p>
    <w:p w14:paraId="0C1206A9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评价指标体系(见项目支出绩效自评表)</w:t>
      </w:r>
    </w:p>
    <w:p w14:paraId="3177AB9D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绩效评价方法和标准:</w:t>
      </w:r>
    </w:p>
    <w:p w14:paraId="7D633D86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本项目绩效评价采用成本效益分析法、比较法、公众评判法。</w:t>
      </w:r>
    </w:p>
    <w:p w14:paraId="10C2CFBD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(三)绩效评价工作过程</w:t>
      </w:r>
    </w:p>
    <w:p w14:paraId="4EDE9656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1.前期准备:根据景德镇市财政项目支出绩效评价管理办法，组织实施该项目绩效评价工作。</w:t>
      </w:r>
    </w:p>
    <w:p w14:paraId="7235122E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2.组织实施:根据工作需要，提出绩效评价工作计划和实施方案，定期开展检查监督。一是调阅项目资料;二是现场查看项目实施情况;三是走访项目实施地的群众。</w:t>
      </w:r>
    </w:p>
    <w:p w14:paraId="3D2E5FE2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3.分析评价:该专项的组织实施，整体提升了部队保障工作能力和水平，促进我市部队供应工作的持续进步和发展。</w:t>
      </w:r>
    </w:p>
    <w:p w14:paraId="736C4908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三、综合评价情况和评价结论</w:t>
      </w:r>
    </w:p>
    <w:p w14:paraId="6D9EF273">
      <w:pPr>
        <w:pStyle w:val="2"/>
        <w:numPr>
          <w:ilvl w:val="0"/>
          <w:numId w:val="0"/>
        </w:numPr>
        <w:ind w:firstLine="64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产出指标、效益指标和满意度指标三个部分均达到预期绩效目标。根据年初设定的绩效目标，“军队供应工作经费”专项经费项目绩效自评得分为100分。项目全年预算数为20万元，执行数为20万元，完成预算的100%。主要产出和效果：一是加强了部队供应能力。购买了新的洗地机、切菜机等厨房电器，提高了工作效率。二是提高了部队供应质量。提供的服务水平高于部队的伙食住宿标准。过往部队及新老兵的满意率达到了100%。</w:t>
      </w:r>
    </w:p>
    <w:p w14:paraId="2010392F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四、绩效评价指标分析</w:t>
      </w:r>
    </w:p>
    <w:p w14:paraId="5EB2C4AB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（一）项目决策情况。根据部队供应工作的要求，市政府将部队供应纳入双拥工作重要项目。</w:t>
      </w:r>
    </w:p>
    <w:p w14:paraId="603388A3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（二）项目过程情况。全面落实部队供应责任，健全部队服务水平考核体系，细化量化考核指标。</w:t>
      </w:r>
    </w:p>
    <w:p w14:paraId="3248E586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（三）项目产出情况。更新了军供厨房的厨房电器，提高了供餐过程中的自动化水平，使提供的服务水平远远高于部队的伙食住宿标准。</w:t>
      </w:r>
    </w:p>
    <w:p w14:paraId="4A4A7C19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（四）项目效益情况。增强了社会对军人的尊重，提高了过往部队对于当兵的满足感和幸福感。也使得我站军供保障水平越来越高。</w:t>
      </w:r>
    </w:p>
    <w:p w14:paraId="0B7E18D1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五、主要经验及做法、存在的问题及原因分析</w:t>
      </w:r>
    </w:p>
    <w:p w14:paraId="46D04A60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1.提高工作中的自动化水平，有利于提高工作效率，更利于提高工作水平。</w:t>
      </w:r>
    </w:p>
    <w:p w14:paraId="2C46A508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2.每一个军供人都以饱满的斗志完成军供任务，工作条件的改善也提高了职工的工作积极性。</w:t>
      </w:r>
    </w:p>
    <w:p w14:paraId="1D6E2866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3.要出台相应的项目内部管理制度，确保专款专用，做到项目经费有保障。</w:t>
      </w:r>
    </w:p>
    <w:p w14:paraId="10389995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存在问题：我站制定了资金管理办法，严格执行相关制度，无截留挪用现象。无明显问题存在。</w:t>
      </w:r>
    </w:p>
    <w:p w14:paraId="3F209CE7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六、有关建议</w:t>
      </w:r>
    </w:p>
    <w:p w14:paraId="5C0F13F5"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进一步加大政策扶持，通过增加项目资金额度，加大投入。</w:t>
      </w:r>
    </w:p>
    <w:p w14:paraId="2A51C70A">
      <w:pPr>
        <w:pStyle w:val="2"/>
        <w:numPr>
          <w:ilvl w:val="0"/>
          <w:numId w:val="6"/>
        </w:numPr>
        <w:ind w:firstLine="640" w:firstLineChars="200"/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其他需要说明的问题</w:t>
      </w:r>
    </w:p>
    <w:p w14:paraId="56D0B559"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hAnsi="仿宋" w:eastAsia="仿宋_GB2312" w:cs="Times New Roman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kern w:val="0"/>
          <w:sz w:val="32"/>
          <w:szCs w:val="32"/>
          <w:lang w:val="en-US" w:eastAsia="zh-CN" w:bidi="ar-SA"/>
        </w:rPr>
        <w:t>无</w:t>
      </w:r>
    </w:p>
    <w:p w14:paraId="5CA1082F"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</w:p>
    <w:p w14:paraId="497E323C">
      <w:pPr>
        <w:widowControl/>
        <w:spacing w:line="600" w:lineRule="exact"/>
        <w:ind w:firstLine="640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第四部分  名词解释</w:t>
      </w:r>
    </w:p>
    <w:p w14:paraId="7C6F5EA2">
      <w:pPr>
        <w:pStyle w:val="7"/>
        <w:spacing w:line="600" w:lineRule="atLeast"/>
        <w:ind w:firstLine="600"/>
        <w:rPr>
          <w:rFonts w:hint="eastAsia" w:ascii="仿宋_GB2312" w:hAnsi="仿宋" w:eastAsia="仿宋_GB2312"/>
          <w:sz w:val="32"/>
          <w:szCs w:val="32"/>
        </w:rPr>
      </w:pPr>
    </w:p>
    <w:p w14:paraId="3DFF8275">
      <w:pPr>
        <w:ind w:firstLine="640"/>
        <w:rPr>
          <w:rFonts w:hint="eastAsia"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财政拨款收入：指单位本年度从财政部门取得的财政拨款。</w:t>
      </w:r>
    </w:p>
    <w:p w14:paraId="680218C8">
      <w:pPr>
        <w:ind w:firstLine="640"/>
        <w:rPr>
          <w:rFonts w:hint="eastAsia"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 xml:space="preserve"> 一般公共预算：是对以税收为主体的财政收入，安排用于保障和改善民生、推动经济社会发展、维护国家安全、维持国家机构正常运转等方面的收支预算。 </w:t>
      </w:r>
    </w:p>
    <w:p w14:paraId="5BBF3C62">
      <w:pPr>
        <w:ind w:firstLine="640"/>
        <w:rPr>
          <w:rFonts w:hint="eastAsia"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 xml:space="preserve">年初结转和结余：指单位上年结转本年使用的基本支出结 转、项目支出结转和结余和经营结余。 </w:t>
      </w:r>
    </w:p>
    <w:p w14:paraId="09F6E0C3">
      <w:pPr>
        <w:ind w:firstLine="640"/>
        <w:rPr>
          <w:rFonts w:hint="eastAsia"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 xml:space="preserve">年末结转和结余：指本年度或以前年度预算安排、因客观条件发生变化无法按原计划实施，需要延迟到以后年度按有关规定继续使用的资金。 </w:t>
      </w:r>
    </w:p>
    <w:p w14:paraId="00CA6FAB">
      <w:pPr>
        <w:ind w:firstLine="640" w:firstLineChars="200"/>
        <w:rPr>
          <w:rFonts w:hint="eastAsia" w:ascii="仿宋_GB2312" w:hAnsi="仿宋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一般公共服务支出：反映</w:t>
      </w:r>
      <w:r>
        <w:rPr>
          <w:rFonts w:hint="eastAsia" w:ascii="仿宋_GB2312" w:hAnsi="仿宋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 w:cs="仿宋_GB2312"/>
          <w:kern w:val="0"/>
          <w:sz w:val="32"/>
          <w:szCs w:val="32"/>
        </w:rPr>
        <w:t xml:space="preserve">提供一般公共服务的支出。 </w:t>
      </w:r>
      <w:r>
        <w:rPr>
          <w:rFonts w:hint="eastAsia" w:ascii="仿宋_GB2312" w:hAnsi="仿宋" w:eastAsia="仿宋_GB2312" w:cs="仿宋_GB2312"/>
          <w:kern w:val="0"/>
          <w:sz w:val="32"/>
          <w:szCs w:val="32"/>
          <w:lang w:val="en-US" w:eastAsia="zh-CN"/>
        </w:rPr>
        <w:t xml:space="preserve"> </w:t>
      </w:r>
    </w:p>
    <w:p w14:paraId="6228D4A9">
      <w:pPr>
        <w:ind w:firstLine="640" w:firstLineChars="200"/>
        <w:rPr>
          <w:rFonts w:hint="eastAsia"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社会保障和就业支出：反映</w:t>
      </w:r>
      <w:r>
        <w:rPr>
          <w:rFonts w:hint="eastAsia" w:ascii="仿宋_GB2312" w:hAnsi="仿宋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 w:cs="仿宋_GB2312"/>
          <w:kern w:val="0"/>
          <w:sz w:val="32"/>
          <w:szCs w:val="32"/>
        </w:rPr>
        <w:t xml:space="preserve">在社会保障与就业方面的支出。 </w:t>
      </w:r>
    </w:p>
    <w:p w14:paraId="7F80FC9C">
      <w:pPr>
        <w:ind w:firstLine="640" w:firstLineChars="200"/>
        <w:rPr>
          <w:rFonts w:hint="eastAsia"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卫生健康支出：反映</w:t>
      </w:r>
      <w:r>
        <w:rPr>
          <w:rFonts w:hint="eastAsia" w:ascii="仿宋_GB2312" w:hAnsi="仿宋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 w:cs="仿宋_GB2312"/>
          <w:kern w:val="0"/>
          <w:sz w:val="32"/>
          <w:szCs w:val="32"/>
        </w:rPr>
        <w:t xml:space="preserve">卫生健康方面的支出。 </w:t>
      </w:r>
    </w:p>
    <w:p w14:paraId="70BA7F90">
      <w:pPr>
        <w:ind w:firstLine="640" w:firstLineChars="200"/>
        <w:rPr>
          <w:rFonts w:hint="eastAsia"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住房保障支出：集中反映</w:t>
      </w:r>
      <w:r>
        <w:rPr>
          <w:rFonts w:hint="eastAsia" w:ascii="仿宋_GB2312" w:hAnsi="仿宋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 w:cs="仿宋_GB2312"/>
          <w:kern w:val="0"/>
          <w:sz w:val="32"/>
          <w:szCs w:val="32"/>
        </w:rPr>
        <w:t xml:space="preserve">用于住房方面的支出。 </w:t>
      </w:r>
    </w:p>
    <w:p w14:paraId="18BEEF15">
      <w:pPr>
        <w:ind w:firstLine="640" w:firstLineChars="200"/>
        <w:rPr>
          <w:rFonts w:hint="eastAsia"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 xml:space="preserve">工资福利支出：反映单位开支的在职职工和编制外长期聘用人员的各类劳动报酬，以及为上述人员缴纳的各项社会保险费等。 </w:t>
      </w:r>
    </w:p>
    <w:p w14:paraId="372483CF">
      <w:pPr>
        <w:ind w:firstLine="640" w:firstLineChars="200"/>
        <w:rPr>
          <w:rFonts w:hint="eastAsia"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 xml:space="preserve">商品和服务支出：反映单位购买商品和服务支出，不包括用于购置固定资产、战略性和应急性物资储备等资本性支出。 </w:t>
      </w:r>
    </w:p>
    <w:p w14:paraId="784A7D2A">
      <w:pPr>
        <w:ind w:firstLine="640" w:firstLineChars="200"/>
        <w:rPr>
          <w:rFonts w:hint="eastAsia"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对个人和家庭的补助：反映</w:t>
      </w:r>
      <w:r>
        <w:rPr>
          <w:rFonts w:hint="eastAsia" w:ascii="仿宋_GB2312" w:hAnsi="仿宋" w:eastAsia="仿宋_GB2312" w:cs="仿宋_GB2312"/>
          <w:kern w:val="0"/>
          <w:sz w:val="32"/>
          <w:szCs w:val="32"/>
          <w:lang w:eastAsia="zh-CN"/>
        </w:rPr>
        <w:t>单位</w:t>
      </w:r>
      <w:r>
        <w:rPr>
          <w:rFonts w:hint="eastAsia" w:ascii="仿宋_GB2312" w:hAnsi="仿宋" w:eastAsia="仿宋_GB2312" w:cs="仿宋_GB2312"/>
          <w:kern w:val="0"/>
          <w:sz w:val="32"/>
          <w:szCs w:val="32"/>
        </w:rPr>
        <w:t xml:space="preserve">用于对个人和家庭的补助支出。 </w:t>
      </w:r>
    </w:p>
    <w:p w14:paraId="026F3B8F">
      <w:pPr>
        <w:ind w:firstLine="640" w:firstLineChars="200"/>
        <w:rPr>
          <w:rFonts w:hint="eastAsia"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 xml:space="preserve">资本性支出：反映单位安排的资本性支出。 </w:t>
      </w:r>
    </w:p>
    <w:p w14:paraId="0434023A">
      <w:pPr>
        <w:ind w:firstLine="640" w:firstLineChars="200"/>
        <w:rPr>
          <w:rFonts w:hint="eastAsia"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  <w:lang w:eastAsia="zh-CN"/>
        </w:rPr>
        <w:t>“</w:t>
      </w:r>
      <w:r>
        <w:rPr>
          <w:rFonts w:hint="eastAsia" w:ascii="仿宋_GB2312" w:hAnsi="仿宋" w:eastAsia="仿宋_GB2312" w:cs="仿宋_GB2312"/>
          <w:kern w:val="0"/>
          <w:sz w:val="32"/>
          <w:szCs w:val="32"/>
        </w:rPr>
        <w:t xml:space="preserve">三公”经费：指部门用一般公共预算财政拨款安排的因公出国（境）费、公务用车购置及运行费和公务接待费。其中，因公出国（境）费指单位公务出国（境）的住宿费、旅费、伙食 补助费、杂费、培训费等支出；公务用车购置及运行费指单位公务用车购置费及租用费、燃料费、维修费、过路过桥费、保险费、安全奖励费用等支出；公务接待费指单位按规定开支的各类公务接待（含外宾接待）支出。 </w:t>
      </w:r>
    </w:p>
    <w:p w14:paraId="3711CFF7">
      <w:pPr>
        <w:ind w:firstLine="640" w:firstLineChars="200"/>
        <w:rPr>
          <w:rFonts w:hint="eastAsia" w:ascii="仿宋_GB2312" w:hAnsi="仿宋" w:eastAsia="仿宋_GB2312" w:cs="仿宋_GB2312"/>
          <w:kern w:val="0"/>
          <w:sz w:val="32"/>
          <w:szCs w:val="32"/>
        </w:rPr>
      </w:pPr>
      <w:r>
        <w:rPr>
          <w:rFonts w:hint="eastAsia" w:ascii="仿宋_GB2312" w:hAnsi="仿宋" w:eastAsia="仿宋_GB2312" w:cs="仿宋_GB2312"/>
          <w:kern w:val="0"/>
          <w:sz w:val="32"/>
          <w:szCs w:val="32"/>
        </w:rPr>
        <w:t>机关运行经费：指为保障单位运行用于购买货物和服务的各项 资金，包括办公及印刷费、邮电费、差旅费、会议费、福利费、日常 维修费、专用材料及一般设备购置费、办公用房水电费、办公用房 取暖费、办公用房物业管理费、公务用车运行维护费以及其他费用。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EF1AB64"/>
    <w:multiLevelType w:val="singleLevel"/>
    <w:tmpl w:val="CEF1AB64"/>
    <w:lvl w:ilvl="0" w:tentative="0">
      <w:start w:val="8"/>
      <w:numFmt w:val="chineseCounting"/>
      <w:suff w:val="nothing"/>
      <w:lvlText w:val="%1、"/>
      <w:lvlJc w:val="left"/>
      <w:pPr>
        <w:ind w:left="1280" w:firstLine="0"/>
      </w:pPr>
    </w:lvl>
  </w:abstractNum>
  <w:abstractNum w:abstractNumId="1">
    <w:nsid w:val="D7CAA7CF"/>
    <w:multiLevelType w:val="singleLevel"/>
    <w:tmpl w:val="D7CAA7C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E80D253C"/>
    <w:multiLevelType w:val="singleLevel"/>
    <w:tmpl w:val="E80D253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E871C405"/>
    <w:multiLevelType w:val="singleLevel"/>
    <w:tmpl w:val="E871C40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4AE9A93B"/>
    <w:multiLevelType w:val="singleLevel"/>
    <w:tmpl w:val="4AE9A93B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8478A3C"/>
    <w:multiLevelType w:val="singleLevel"/>
    <w:tmpl w:val="58478A3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  <w:lvlOverride w:ilvl="0">
      <w:startOverride w:val="8"/>
    </w:lvlOverride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1OWFjNGFmMDFjYjY3OTU5YTc5MGYxZmU2Y2M4ZTQifQ=="/>
  </w:docVars>
  <w:rsids>
    <w:rsidRoot w:val="45292D30"/>
    <w:rsid w:val="00024662"/>
    <w:rsid w:val="01C16AFD"/>
    <w:rsid w:val="188A42FD"/>
    <w:rsid w:val="1B4B6D64"/>
    <w:rsid w:val="1D561C6E"/>
    <w:rsid w:val="21694C93"/>
    <w:rsid w:val="2738201D"/>
    <w:rsid w:val="27E63360"/>
    <w:rsid w:val="353F0B39"/>
    <w:rsid w:val="36120393"/>
    <w:rsid w:val="388E2157"/>
    <w:rsid w:val="408F5828"/>
    <w:rsid w:val="42F73605"/>
    <w:rsid w:val="43C271E7"/>
    <w:rsid w:val="45292D30"/>
    <w:rsid w:val="47A453F8"/>
    <w:rsid w:val="484B7A96"/>
    <w:rsid w:val="4DE66A7B"/>
    <w:rsid w:val="4E90083D"/>
    <w:rsid w:val="53535815"/>
    <w:rsid w:val="55DC5604"/>
    <w:rsid w:val="5B8E1D25"/>
    <w:rsid w:val="630D781F"/>
    <w:rsid w:val="67CC6D71"/>
    <w:rsid w:val="70B6752A"/>
    <w:rsid w:val="744476A3"/>
    <w:rsid w:val="75A850E9"/>
    <w:rsid w:val="7ACE2FE5"/>
    <w:rsid w:val="7C7A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纯文本1"/>
    <w:basedOn w:val="1"/>
    <w:qFormat/>
    <w:uiPriority w:val="0"/>
    <w:rPr>
      <w:rFonts w:ascii="宋体" w:hAnsi="Courier New" w:cs="Courier New"/>
      <w:szCs w:val="21"/>
    </w:rPr>
  </w:style>
  <w:style w:type="table" w:styleId="5">
    <w:name w:val="Table Grid"/>
    <w:basedOn w:val="4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7">
    <w:name w:val="p0"/>
    <w:basedOn w:val="1"/>
    <w:qFormat/>
    <w:uiPriority w:val="0"/>
    <w:pPr>
      <w:widowControl/>
    </w:pPr>
    <w:rPr>
      <w:rFonts w:ascii="Calibri" w:hAnsi="Calibri"/>
      <w:kern w:val="0"/>
      <w:szCs w:val="21"/>
    </w:rPr>
  </w:style>
  <w:style w:type="paragraph" w:customStyle="1" w:styleId="8">
    <w:name w:val="闻政正文"/>
    <w:basedOn w:val="1"/>
    <w:qFormat/>
    <w:uiPriority w:val="0"/>
    <w:pPr>
      <w:spacing w:line="500" w:lineRule="exact"/>
      <w:ind w:firstLine="560" w:firstLineChars="200"/>
    </w:pPr>
    <w:rPr>
      <w:rFonts w:eastAsia="仿宋_GB2312"/>
      <w:kern w:val="0"/>
      <w:sz w:val="28"/>
      <w:szCs w:val="28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372" w:lineRule="auto"/>
      <w:ind w:firstLine="400"/>
    </w:pPr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11.jpe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497</Words>
  <Characters>513</Characters>
  <Lines>0</Lines>
  <Paragraphs>0</Paragraphs>
  <TotalTime>52</TotalTime>
  <ScaleCrop>false</ScaleCrop>
  <LinksUpToDate>false</LinksUpToDate>
  <CharactersWithSpaces>577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2021-10-05T02:59:00Z</dcterms:created>
  <dc:creator>超</dc:creator>
  <cp:lastModifiedBy>zjl</cp:lastModifiedBy>
  <dcterms:modified xsi:type="dcterms:W3CDTF">2026-07-03T07:12:24Z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03922DDFF92D419A9A5CFE356B32912F</vt:lpwstr>
  </property>
  <property fmtid="{D5CDD505-2E9C-101B-9397-08002B2CF9AE}" pid="4" name="KSOTemplateDocerSaveRecord">
    <vt:lpwstr>eyJoZGlkIjoiZDE0NGEzNGIzZjUwOGU4ZDE5MWE2OTkyZTc1ZTM0ZWUiLCJ1c2VySWQiOiI1MDI5MTkxMDkifQ==</vt:lpwstr>
  </property>
</Properties>
</file>