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6E7D">
      <w:pPr>
        <w:spacing w:line="600" w:lineRule="exact"/>
        <w:jc w:val="center"/>
        <w:rPr>
          <w:rFonts w:hint="eastAsia" w:ascii="黑体" w:hAnsi="黑体" w:eastAsia="黑体"/>
          <w:sz w:val="44"/>
          <w:szCs w:val="36"/>
          <w:lang w:val="en-US" w:eastAsia="zh-CN"/>
        </w:rPr>
      </w:pPr>
    </w:p>
    <w:p w14:paraId="74B971AA">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景德镇市烈士陵园管理所</w:t>
      </w:r>
    </w:p>
    <w:p w14:paraId="43C5C32B">
      <w:pPr>
        <w:spacing w:line="600" w:lineRule="exact"/>
        <w:jc w:val="center"/>
        <w:rPr>
          <w:rFonts w:hint="eastAsia" w:ascii="黑体" w:eastAsia="黑体"/>
          <w:sz w:val="44"/>
          <w:szCs w:val="36"/>
        </w:rPr>
      </w:pPr>
      <w:r>
        <w:rPr>
          <w:rFonts w:hint="eastAsia" w:ascii="黑体" w:eastAsia="黑体"/>
          <w:sz w:val="44"/>
          <w:szCs w:val="36"/>
          <w:lang w:val="en-US" w:eastAsia="zh-CN"/>
        </w:rPr>
        <w:t>2020</w:t>
      </w:r>
      <w:r>
        <w:rPr>
          <w:rFonts w:hint="eastAsia" w:ascii="黑体" w:eastAsia="黑体"/>
          <w:sz w:val="44"/>
          <w:szCs w:val="36"/>
        </w:rPr>
        <w:t>年度部门决算</w:t>
      </w:r>
    </w:p>
    <w:p w14:paraId="32628967">
      <w:pPr>
        <w:spacing w:line="600" w:lineRule="exact"/>
        <w:jc w:val="center"/>
        <w:rPr>
          <w:rFonts w:hint="eastAsia" w:ascii="黑体" w:eastAsia="黑体"/>
          <w:sz w:val="44"/>
          <w:szCs w:val="36"/>
        </w:rPr>
      </w:pPr>
    </w:p>
    <w:p w14:paraId="3E8A091A">
      <w:pPr>
        <w:spacing w:line="600" w:lineRule="exact"/>
        <w:jc w:val="center"/>
        <w:rPr>
          <w:rFonts w:hint="eastAsia" w:ascii="黑体" w:eastAsia="黑体"/>
          <w:sz w:val="40"/>
          <w:szCs w:val="36"/>
        </w:rPr>
      </w:pPr>
      <w:r>
        <w:rPr>
          <w:rFonts w:hint="eastAsia" w:ascii="黑体" w:eastAsia="黑体"/>
          <w:sz w:val="40"/>
          <w:szCs w:val="36"/>
        </w:rPr>
        <w:t>目    录</w:t>
      </w:r>
    </w:p>
    <w:p w14:paraId="4787080E">
      <w:pPr>
        <w:widowControl/>
        <w:spacing w:line="600" w:lineRule="exact"/>
        <w:ind w:firstLine="640"/>
        <w:jc w:val="left"/>
        <w:rPr>
          <w:rFonts w:hint="eastAsia" w:ascii="仿宋_GB2312" w:eastAsia="仿宋_GB2312"/>
          <w:sz w:val="32"/>
          <w:szCs w:val="30"/>
        </w:rPr>
      </w:pPr>
    </w:p>
    <w:p w14:paraId="2436738D">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市烈士陵园管理所</w:t>
      </w:r>
      <w:r>
        <w:rPr>
          <w:rFonts w:hint="eastAsia" w:ascii="黑体" w:hAnsi="黑体" w:eastAsia="黑体"/>
          <w:b/>
          <w:sz w:val="32"/>
          <w:szCs w:val="32"/>
        </w:rPr>
        <w:t>概况</w:t>
      </w:r>
    </w:p>
    <w:p w14:paraId="3340DAA6">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14:paraId="777F9B5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14:paraId="7C8CB015">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2020</w:t>
      </w:r>
      <w:r>
        <w:rPr>
          <w:rFonts w:hint="eastAsia" w:ascii="黑体" w:hAnsi="黑体" w:eastAsia="黑体"/>
          <w:b/>
          <w:bCs/>
          <w:sz w:val="32"/>
          <w:szCs w:val="32"/>
        </w:rPr>
        <w:t>年度部门决算表</w:t>
      </w:r>
    </w:p>
    <w:p w14:paraId="63851D7D">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22D6240D">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6BA86387">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135334E2">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11EEBED5">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7DA153A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24C3BB82">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60E9970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62DEF397">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5681F2D1">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5B791C2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132707CD">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2020</w:t>
      </w:r>
      <w:r>
        <w:rPr>
          <w:rFonts w:hint="eastAsia" w:ascii="黑体" w:hAnsi="黑体" w:eastAsia="黑体"/>
          <w:sz w:val="32"/>
          <w:szCs w:val="32"/>
        </w:rPr>
        <w:t>年度部门决算情况说明</w:t>
      </w:r>
    </w:p>
    <w:p w14:paraId="697E58C4">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07084BE8">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0DAED0DE">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426560D6">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145FF5CF">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31BE8A16">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1557A7D2">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7FCBAA00">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101D80F1">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0B7CCF9E">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3C0B94DF">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290B681C">
      <w:pPr>
        <w:ind w:firstLine="630"/>
        <w:jc w:val="center"/>
        <w:rPr>
          <w:rFonts w:hint="eastAsia" w:ascii="宋体" w:hAnsi="宋体"/>
          <w:b/>
          <w:sz w:val="36"/>
          <w:szCs w:val="36"/>
        </w:rPr>
      </w:pPr>
    </w:p>
    <w:p w14:paraId="75D136A4">
      <w:pPr>
        <w:ind w:firstLine="630"/>
        <w:jc w:val="center"/>
        <w:rPr>
          <w:rFonts w:hint="eastAsia" w:ascii="宋体" w:hAnsi="宋体"/>
          <w:b/>
          <w:sz w:val="36"/>
          <w:szCs w:val="36"/>
        </w:rPr>
      </w:pPr>
    </w:p>
    <w:p w14:paraId="37AF0BDD">
      <w:pPr>
        <w:ind w:firstLine="630"/>
        <w:jc w:val="center"/>
        <w:rPr>
          <w:rFonts w:hint="eastAsia" w:ascii="宋体" w:hAnsi="宋体"/>
          <w:b/>
          <w:sz w:val="36"/>
          <w:szCs w:val="36"/>
        </w:rPr>
      </w:pPr>
    </w:p>
    <w:p w14:paraId="44F98AF9">
      <w:pPr>
        <w:ind w:firstLine="630"/>
        <w:jc w:val="center"/>
        <w:rPr>
          <w:rFonts w:hint="eastAsia" w:ascii="宋体" w:hAnsi="宋体"/>
          <w:b/>
          <w:sz w:val="36"/>
          <w:szCs w:val="36"/>
        </w:rPr>
      </w:pPr>
    </w:p>
    <w:p w14:paraId="286125E8">
      <w:pPr>
        <w:ind w:firstLine="630"/>
        <w:jc w:val="center"/>
        <w:rPr>
          <w:rFonts w:hint="eastAsia" w:ascii="宋体" w:hAnsi="宋体"/>
          <w:b/>
          <w:sz w:val="36"/>
          <w:szCs w:val="36"/>
        </w:rPr>
      </w:pPr>
    </w:p>
    <w:p w14:paraId="27CB562B">
      <w:pPr>
        <w:ind w:firstLine="630"/>
        <w:jc w:val="center"/>
        <w:rPr>
          <w:rFonts w:hint="eastAsia" w:ascii="宋体" w:hAnsi="宋体"/>
          <w:b/>
          <w:sz w:val="36"/>
          <w:szCs w:val="36"/>
        </w:rPr>
      </w:pPr>
    </w:p>
    <w:p w14:paraId="56BDBD03">
      <w:pPr>
        <w:ind w:firstLine="630"/>
        <w:jc w:val="center"/>
        <w:rPr>
          <w:rFonts w:hint="eastAsia" w:ascii="宋体" w:hAnsi="宋体"/>
          <w:b/>
          <w:sz w:val="36"/>
          <w:szCs w:val="36"/>
        </w:rPr>
      </w:pPr>
    </w:p>
    <w:p w14:paraId="20D109E7">
      <w:pPr>
        <w:ind w:firstLine="630"/>
        <w:jc w:val="center"/>
        <w:rPr>
          <w:rFonts w:hint="eastAsia" w:ascii="宋体" w:hAnsi="宋体"/>
          <w:b/>
          <w:sz w:val="36"/>
          <w:szCs w:val="36"/>
        </w:rPr>
      </w:pPr>
    </w:p>
    <w:p w14:paraId="1B9AE83C">
      <w:pPr>
        <w:jc w:val="both"/>
        <w:rPr>
          <w:rFonts w:hint="eastAsia" w:ascii="宋体" w:hAnsi="宋体"/>
          <w:b/>
          <w:sz w:val="36"/>
          <w:szCs w:val="36"/>
        </w:rPr>
      </w:pPr>
    </w:p>
    <w:p w14:paraId="1D238153">
      <w:pPr>
        <w:ind w:firstLine="630"/>
        <w:jc w:val="center"/>
        <w:rPr>
          <w:rFonts w:hint="eastAsia" w:ascii="宋体" w:hAnsi="宋体"/>
          <w:b/>
          <w:sz w:val="36"/>
          <w:szCs w:val="36"/>
        </w:rPr>
      </w:pPr>
    </w:p>
    <w:p w14:paraId="4DA94F45">
      <w:pPr>
        <w:ind w:firstLine="630"/>
        <w:jc w:val="center"/>
        <w:rPr>
          <w:rFonts w:hint="eastAsia" w:ascii="宋体" w:hAnsi="宋体"/>
          <w:b/>
          <w:sz w:val="36"/>
          <w:szCs w:val="36"/>
        </w:rPr>
      </w:pPr>
    </w:p>
    <w:p w14:paraId="7FCCAFE5">
      <w:pPr>
        <w:ind w:firstLine="630"/>
        <w:jc w:val="center"/>
        <w:rPr>
          <w:rFonts w:hint="eastAsia" w:ascii="宋体" w:hAnsi="宋体"/>
          <w:b/>
          <w:sz w:val="36"/>
          <w:szCs w:val="36"/>
        </w:rPr>
      </w:pPr>
    </w:p>
    <w:p w14:paraId="5D46A300">
      <w:pPr>
        <w:widowControl/>
        <w:spacing w:line="580" w:lineRule="exact"/>
        <w:jc w:val="both"/>
        <w:rPr>
          <w:rFonts w:hint="eastAsia" w:ascii="宋体" w:hAnsi="宋体"/>
          <w:b/>
          <w:sz w:val="32"/>
          <w:szCs w:val="30"/>
        </w:rPr>
      </w:pPr>
    </w:p>
    <w:p w14:paraId="7213A84A">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市烈士陵园管理所</w:t>
      </w:r>
      <w:r>
        <w:rPr>
          <w:rFonts w:hint="eastAsia" w:ascii="宋体" w:hAnsi="宋体"/>
          <w:b/>
          <w:sz w:val="32"/>
          <w:szCs w:val="30"/>
        </w:rPr>
        <w:t>概况</w:t>
      </w:r>
    </w:p>
    <w:p w14:paraId="20ABEBA5">
      <w:pPr>
        <w:ind w:firstLine="630"/>
        <w:jc w:val="center"/>
        <w:rPr>
          <w:rFonts w:hint="eastAsia"/>
          <w:sz w:val="32"/>
          <w:szCs w:val="32"/>
        </w:rPr>
      </w:pPr>
    </w:p>
    <w:p w14:paraId="66058575">
      <w:pPr>
        <w:ind w:firstLine="630"/>
        <w:jc w:val="left"/>
        <w:rPr>
          <w:rFonts w:hint="eastAsia" w:ascii="黑体" w:hAnsi="黑体" w:eastAsia="黑体"/>
          <w:sz w:val="30"/>
          <w:szCs w:val="30"/>
        </w:rPr>
      </w:pPr>
      <w:r>
        <w:rPr>
          <w:rFonts w:hint="eastAsia" w:ascii="黑体" w:hAnsi="黑体" w:eastAsia="黑体"/>
          <w:sz w:val="30"/>
          <w:szCs w:val="30"/>
        </w:rPr>
        <w:t>一、部门主要职能</w:t>
      </w:r>
    </w:p>
    <w:p w14:paraId="214549A3">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一</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负责革命烈士的褒扬工作；</w:t>
      </w:r>
    </w:p>
    <w:p w14:paraId="618CED10">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二</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负责陵园建筑物的日常维护与维修工作；</w:t>
      </w:r>
    </w:p>
    <w:p w14:paraId="61A7E180">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三）</w:t>
      </w:r>
      <w:r>
        <w:rPr>
          <w:rFonts w:hint="eastAsia" w:ascii="仿宋" w:hAnsi="仿宋" w:eastAsia="仿宋" w:cs="宋体"/>
          <w:b w:val="0"/>
          <w:bCs w:val="0"/>
          <w:kern w:val="0"/>
          <w:sz w:val="32"/>
          <w:szCs w:val="32"/>
        </w:rPr>
        <w:t>负责建立完善烈士档案；</w:t>
      </w:r>
    </w:p>
    <w:p w14:paraId="0915EF90">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四</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负责为社会各界及烈士亲属祭扫活动提供服务，充分发挥爱国主义及青少年教育地的作用；</w:t>
      </w:r>
    </w:p>
    <w:p w14:paraId="087C0C74">
      <w:pPr>
        <w:ind w:firstLine="640" w:firstLineChars="200"/>
        <w:rPr>
          <w:rFonts w:hint="eastAsia" w:ascii="仿宋_GB2312" w:hAnsi="仿宋" w:eastAsia="仿宋_GB2312"/>
          <w:b w:val="0"/>
          <w:bCs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五</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负责园区内卫生、环境绿化和安全保卫工作。</w:t>
      </w:r>
    </w:p>
    <w:p w14:paraId="14EC92A9">
      <w:pPr>
        <w:ind w:firstLine="630"/>
        <w:jc w:val="left"/>
        <w:rPr>
          <w:rFonts w:hint="eastAsia" w:ascii="黑体" w:hAnsi="黑体" w:eastAsia="黑体"/>
          <w:sz w:val="30"/>
          <w:szCs w:val="30"/>
        </w:rPr>
      </w:pPr>
      <w:r>
        <w:rPr>
          <w:rFonts w:hint="eastAsia" w:ascii="黑体" w:hAnsi="黑体" w:eastAsia="黑体"/>
          <w:sz w:val="30"/>
          <w:szCs w:val="30"/>
        </w:rPr>
        <w:t>二、部门基本情况</w:t>
      </w:r>
    </w:p>
    <w:p w14:paraId="2378B7B3">
      <w:pPr>
        <w:ind w:firstLine="630"/>
        <w:jc w:val="left"/>
        <w:rPr>
          <w:rFonts w:hint="eastAsia" w:ascii="仿宋" w:hAnsi="仿宋" w:eastAsia="仿宋"/>
          <w:sz w:val="30"/>
          <w:szCs w:val="30"/>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w:t>
      </w:r>
      <w:r>
        <w:rPr>
          <w:rFonts w:hint="eastAsia" w:ascii="仿宋" w:hAnsi="仿宋" w:eastAsia="仿宋"/>
          <w:sz w:val="30"/>
          <w:szCs w:val="30"/>
        </w:rPr>
        <w:t>个，包括：</w:t>
      </w:r>
      <w:r>
        <w:rPr>
          <w:rFonts w:hint="eastAsia" w:ascii="仿宋" w:hAnsi="仿宋" w:eastAsia="仿宋"/>
          <w:sz w:val="30"/>
          <w:szCs w:val="30"/>
          <w:lang w:val="en-US" w:eastAsia="zh-CN"/>
        </w:rPr>
        <w:t>景德镇市烈士陵园管理所</w:t>
      </w:r>
      <w:r>
        <w:rPr>
          <w:rFonts w:hint="eastAsia" w:ascii="仿宋" w:hAnsi="仿宋" w:eastAsia="仿宋"/>
          <w:sz w:val="30"/>
          <w:szCs w:val="30"/>
        </w:rPr>
        <w:t>。</w:t>
      </w:r>
    </w:p>
    <w:p w14:paraId="65D385C4">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rPr>
        <w:t>2020年年末实有人数</w:t>
      </w:r>
      <w:r>
        <w:rPr>
          <w:rFonts w:hint="eastAsia" w:ascii="仿宋" w:hAnsi="仿宋" w:eastAsia="仿宋"/>
          <w:sz w:val="30"/>
          <w:szCs w:val="30"/>
          <w:lang w:val="en-US" w:eastAsia="zh-CN"/>
        </w:rPr>
        <w:t>3</w:t>
      </w:r>
      <w:r>
        <w:rPr>
          <w:rFonts w:hint="eastAsia" w:ascii="仿宋" w:hAnsi="仿宋" w:eastAsia="仿宋"/>
          <w:sz w:val="30"/>
          <w:szCs w:val="30"/>
        </w:rPr>
        <w:t>人，其中在职人员</w:t>
      </w:r>
      <w:r>
        <w:rPr>
          <w:rFonts w:hint="eastAsia" w:ascii="仿宋" w:hAnsi="仿宋" w:eastAsia="仿宋"/>
          <w:sz w:val="30"/>
          <w:szCs w:val="30"/>
          <w:lang w:val="en-US" w:eastAsia="zh-CN"/>
        </w:rPr>
        <w:t>3</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p w14:paraId="788360AE">
      <w:pPr>
        <w:ind w:firstLine="630"/>
        <w:jc w:val="left"/>
        <w:rPr>
          <w:rFonts w:hint="eastAsia" w:ascii="仿宋" w:hAnsi="仿宋" w:eastAsia="仿宋"/>
          <w:sz w:val="30"/>
          <w:szCs w:val="30"/>
          <w:lang w:val="en-US" w:eastAsia="zh-CN"/>
        </w:rPr>
      </w:pPr>
    </w:p>
    <w:p w14:paraId="73A9EF63">
      <w:pPr>
        <w:widowControl/>
        <w:numPr>
          <w:ilvl w:val="0"/>
          <w:numId w:val="0"/>
        </w:numPr>
        <w:spacing w:line="600" w:lineRule="exact"/>
        <w:jc w:val="both"/>
        <w:rPr>
          <w:rFonts w:hint="eastAsia" w:ascii="宋体" w:hAnsi="宋体"/>
          <w:b/>
          <w:sz w:val="32"/>
          <w:szCs w:val="32"/>
        </w:rPr>
      </w:pPr>
    </w:p>
    <w:p w14:paraId="2D8D69CB">
      <w:pPr>
        <w:pStyle w:val="2"/>
        <w:rPr>
          <w:rFonts w:hint="eastAsia" w:ascii="宋体" w:hAnsi="宋体"/>
          <w:b/>
          <w:sz w:val="32"/>
          <w:szCs w:val="32"/>
        </w:rPr>
      </w:pPr>
    </w:p>
    <w:p w14:paraId="39946EB1">
      <w:pPr>
        <w:pStyle w:val="2"/>
        <w:rPr>
          <w:rFonts w:hint="eastAsia" w:ascii="宋体" w:hAnsi="宋体"/>
          <w:b/>
          <w:sz w:val="32"/>
          <w:szCs w:val="32"/>
        </w:rPr>
      </w:pPr>
    </w:p>
    <w:p w14:paraId="58D77B3D">
      <w:pPr>
        <w:pStyle w:val="2"/>
        <w:rPr>
          <w:rFonts w:hint="eastAsia" w:ascii="宋体" w:hAnsi="宋体"/>
          <w:b/>
          <w:sz w:val="32"/>
          <w:szCs w:val="32"/>
        </w:rPr>
      </w:pPr>
    </w:p>
    <w:p w14:paraId="2BB86951">
      <w:pPr>
        <w:pStyle w:val="2"/>
        <w:rPr>
          <w:rFonts w:hint="eastAsia" w:ascii="宋体" w:hAnsi="宋体"/>
          <w:b/>
          <w:sz w:val="32"/>
          <w:szCs w:val="32"/>
        </w:rPr>
      </w:pPr>
    </w:p>
    <w:p w14:paraId="5E80399C">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2020</w:t>
      </w:r>
      <w:r>
        <w:rPr>
          <w:rFonts w:hint="eastAsia" w:ascii="宋体" w:hAnsi="宋体"/>
          <w:b/>
          <w:sz w:val="32"/>
          <w:szCs w:val="32"/>
        </w:rPr>
        <w:t>年度部门决算表</w:t>
      </w:r>
    </w:p>
    <w:p w14:paraId="435828BC">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675" cy="4080510"/>
            <wp:effectExtent l="0" t="0" r="3175" b="15240"/>
            <wp:docPr id="2" name="图片 2" descr="1632382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2382283(1)"/>
                    <pic:cNvPicPr>
                      <a:picLocks noChangeAspect="1"/>
                    </pic:cNvPicPr>
                  </pic:nvPicPr>
                  <pic:blipFill>
                    <a:blip r:embed="rId4"/>
                    <a:stretch>
                      <a:fillRect/>
                    </a:stretch>
                  </pic:blipFill>
                  <pic:spPr>
                    <a:xfrm>
                      <a:off x="0" y="0"/>
                      <a:ext cx="5273675" cy="4080510"/>
                    </a:xfrm>
                    <a:prstGeom prst="rect">
                      <a:avLst/>
                    </a:prstGeom>
                  </pic:spPr>
                </pic:pic>
              </a:graphicData>
            </a:graphic>
          </wp:inline>
        </w:drawing>
      </w:r>
    </w:p>
    <w:p w14:paraId="560E6235">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4150" cy="1956435"/>
            <wp:effectExtent l="0" t="0" r="12700" b="5715"/>
            <wp:docPr id="8" name="图片 8" descr="163238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32382496"/>
                    <pic:cNvPicPr>
                      <a:picLocks noChangeAspect="1"/>
                    </pic:cNvPicPr>
                  </pic:nvPicPr>
                  <pic:blipFill>
                    <a:blip r:embed="rId5"/>
                    <a:stretch>
                      <a:fillRect/>
                    </a:stretch>
                  </pic:blipFill>
                  <pic:spPr>
                    <a:xfrm>
                      <a:off x="0" y="0"/>
                      <a:ext cx="5264150" cy="1956435"/>
                    </a:xfrm>
                    <a:prstGeom prst="rect">
                      <a:avLst/>
                    </a:prstGeom>
                  </pic:spPr>
                </pic:pic>
              </a:graphicData>
            </a:graphic>
          </wp:inline>
        </w:drawing>
      </w:r>
    </w:p>
    <w:p w14:paraId="70633DBC">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2127885"/>
            <wp:effectExtent l="0" t="0" r="7620" b="5715"/>
            <wp:docPr id="4" name="图片 4" descr="1632382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32382343(1)"/>
                    <pic:cNvPicPr>
                      <a:picLocks noChangeAspect="1"/>
                    </pic:cNvPicPr>
                  </pic:nvPicPr>
                  <pic:blipFill>
                    <a:blip r:embed="rId6"/>
                    <a:stretch>
                      <a:fillRect/>
                    </a:stretch>
                  </pic:blipFill>
                  <pic:spPr>
                    <a:xfrm>
                      <a:off x="0" y="0"/>
                      <a:ext cx="5269230" cy="2127885"/>
                    </a:xfrm>
                    <a:prstGeom prst="rect">
                      <a:avLst/>
                    </a:prstGeom>
                  </pic:spPr>
                </pic:pic>
              </a:graphicData>
            </a:graphic>
          </wp:inline>
        </w:drawing>
      </w:r>
    </w:p>
    <w:p w14:paraId="402E1F2F">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62880" cy="3436620"/>
            <wp:effectExtent l="0" t="0" r="13970" b="11430"/>
            <wp:docPr id="5" name="图片 5" descr="1632382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2382372(1)"/>
                    <pic:cNvPicPr>
                      <a:picLocks noChangeAspect="1"/>
                    </pic:cNvPicPr>
                  </pic:nvPicPr>
                  <pic:blipFill>
                    <a:blip r:embed="rId7"/>
                    <a:stretch>
                      <a:fillRect/>
                    </a:stretch>
                  </pic:blipFill>
                  <pic:spPr>
                    <a:xfrm>
                      <a:off x="0" y="0"/>
                      <a:ext cx="5262880" cy="3436620"/>
                    </a:xfrm>
                    <a:prstGeom prst="rect">
                      <a:avLst/>
                    </a:prstGeom>
                  </pic:spPr>
                </pic:pic>
              </a:graphicData>
            </a:graphic>
          </wp:inline>
        </w:drawing>
      </w:r>
    </w:p>
    <w:p w14:paraId="36EA78FB">
      <w:pPr>
        <w:autoSpaceDE w:val="0"/>
        <w:autoSpaceDN w:val="0"/>
        <w:adjustRightInd w:val="0"/>
        <w:spacing w:line="360" w:lineRule="auto"/>
        <w:jc w:val="left"/>
        <w:rPr>
          <w:rFonts w:hint="eastAsia" w:eastAsia="宋体"/>
          <w:szCs w:val="30"/>
          <w:lang w:eastAsia="zh-CN"/>
        </w:rPr>
      </w:pPr>
    </w:p>
    <w:p w14:paraId="2E6FAE54">
      <w:pPr>
        <w:autoSpaceDE w:val="0"/>
        <w:autoSpaceDN w:val="0"/>
        <w:adjustRightInd w:val="0"/>
        <w:spacing w:line="360" w:lineRule="auto"/>
        <w:jc w:val="left"/>
        <w:rPr>
          <w:rFonts w:hint="eastAsia" w:eastAsia="宋体"/>
          <w:szCs w:val="30"/>
          <w:lang w:eastAsia="zh-CN"/>
        </w:rPr>
      </w:pPr>
    </w:p>
    <w:p w14:paraId="7CDFD06C">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960" cy="3395980"/>
            <wp:effectExtent l="0" t="0" r="8890" b="13970"/>
            <wp:docPr id="6" name="图片 6" descr="1632382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32382397(1)"/>
                    <pic:cNvPicPr>
                      <a:picLocks noChangeAspect="1"/>
                    </pic:cNvPicPr>
                  </pic:nvPicPr>
                  <pic:blipFill>
                    <a:blip r:embed="rId8"/>
                    <a:stretch>
                      <a:fillRect/>
                    </a:stretch>
                  </pic:blipFill>
                  <pic:spPr>
                    <a:xfrm>
                      <a:off x="0" y="0"/>
                      <a:ext cx="5267960" cy="3395980"/>
                    </a:xfrm>
                    <a:prstGeom prst="rect">
                      <a:avLst/>
                    </a:prstGeom>
                  </pic:spPr>
                </pic:pic>
              </a:graphicData>
            </a:graphic>
          </wp:inline>
        </w:drawing>
      </w:r>
    </w:p>
    <w:p w14:paraId="33BFCE31">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7437755"/>
            <wp:effectExtent l="0" t="0" r="8255" b="10795"/>
            <wp:docPr id="7" name="图片 7" descr="1632382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32382433(1)"/>
                    <pic:cNvPicPr>
                      <a:picLocks noChangeAspect="1"/>
                    </pic:cNvPicPr>
                  </pic:nvPicPr>
                  <pic:blipFill>
                    <a:blip r:embed="rId9"/>
                    <a:stretch>
                      <a:fillRect/>
                    </a:stretch>
                  </pic:blipFill>
                  <pic:spPr>
                    <a:xfrm>
                      <a:off x="0" y="0"/>
                      <a:ext cx="5268595" cy="7437755"/>
                    </a:xfrm>
                    <a:prstGeom prst="rect">
                      <a:avLst/>
                    </a:prstGeom>
                  </pic:spPr>
                </pic:pic>
              </a:graphicData>
            </a:graphic>
          </wp:inline>
        </w:drawing>
      </w:r>
    </w:p>
    <w:p w14:paraId="7FF0242F">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3040" cy="4458335"/>
            <wp:effectExtent l="0" t="0" r="3810" b="18415"/>
            <wp:docPr id="9" name="图片 9" descr="16323825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32382575(1)"/>
                    <pic:cNvPicPr>
                      <a:picLocks noChangeAspect="1"/>
                    </pic:cNvPicPr>
                  </pic:nvPicPr>
                  <pic:blipFill>
                    <a:blip r:embed="rId10"/>
                    <a:stretch>
                      <a:fillRect/>
                    </a:stretch>
                  </pic:blipFill>
                  <pic:spPr>
                    <a:xfrm>
                      <a:off x="0" y="0"/>
                      <a:ext cx="5273040" cy="4458335"/>
                    </a:xfrm>
                    <a:prstGeom prst="rect">
                      <a:avLst/>
                    </a:prstGeom>
                  </pic:spPr>
                </pic:pic>
              </a:graphicData>
            </a:graphic>
          </wp:inline>
        </w:drawing>
      </w:r>
    </w:p>
    <w:p w14:paraId="2DFE7EC0">
      <w:pPr>
        <w:pStyle w:val="2"/>
        <w:rPr>
          <w:rFonts w:hint="eastAsia"/>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w:t>
      </w:r>
      <w:r>
        <w:rPr>
          <w:rFonts w:hint="eastAsia"/>
          <w:szCs w:val="30"/>
          <w:lang w:val="en-US" w:eastAsia="zh-CN"/>
        </w:rPr>
        <w:t>三公</w:t>
      </w:r>
      <w:r>
        <w:rPr>
          <w:rFonts w:hint="eastAsia"/>
          <w:szCs w:val="30"/>
          <w:lang w:eastAsia="zh-CN"/>
        </w:rPr>
        <w:t>”</w:t>
      </w:r>
      <w:r>
        <w:rPr>
          <w:rFonts w:hint="eastAsia"/>
          <w:szCs w:val="30"/>
          <w:lang w:val="en-US" w:eastAsia="zh-CN"/>
        </w:rPr>
        <w:t>经费支出情况</w:t>
      </w:r>
    </w:p>
    <w:p w14:paraId="28CD2F51">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1848485"/>
            <wp:effectExtent l="0" t="0" r="5715" b="18415"/>
            <wp:docPr id="11" name="图片 11" descr="16323827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32382723(1)"/>
                    <pic:cNvPicPr>
                      <a:picLocks noChangeAspect="1"/>
                    </pic:cNvPicPr>
                  </pic:nvPicPr>
                  <pic:blipFill>
                    <a:blip r:embed="rId11"/>
                    <a:stretch>
                      <a:fillRect/>
                    </a:stretch>
                  </pic:blipFill>
                  <pic:spPr>
                    <a:xfrm>
                      <a:off x="0" y="0"/>
                      <a:ext cx="5271135" cy="1848485"/>
                    </a:xfrm>
                    <a:prstGeom prst="rect">
                      <a:avLst/>
                    </a:prstGeom>
                  </pic:spPr>
                </pic:pic>
              </a:graphicData>
            </a:graphic>
          </wp:inline>
        </w:drawing>
      </w:r>
    </w:p>
    <w:p w14:paraId="616F1CD6">
      <w:pPr>
        <w:pStyle w:val="2"/>
        <w:rPr>
          <w:rFonts w:hint="eastAsia"/>
          <w:szCs w:val="30"/>
          <w:lang w:val="en-US"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53B24E37">
      <w:pPr>
        <w:pStyle w:val="2"/>
        <w:rPr>
          <w:rFonts w:hint="eastAsia"/>
          <w:szCs w:val="30"/>
          <w:lang w:val="en-US" w:eastAsia="zh-CN"/>
        </w:rPr>
      </w:pPr>
    </w:p>
    <w:p w14:paraId="76FCB207">
      <w:pPr>
        <w:autoSpaceDE w:val="0"/>
        <w:autoSpaceDN w:val="0"/>
        <w:adjustRightInd w:val="0"/>
        <w:spacing w:line="360" w:lineRule="auto"/>
        <w:jc w:val="left"/>
        <w:rPr>
          <w:rFonts w:hint="default" w:eastAsia="宋体"/>
          <w:szCs w:val="22"/>
          <w:lang w:val="en-US" w:eastAsia="zh-CN"/>
        </w:rPr>
      </w:pPr>
      <w:r>
        <w:rPr>
          <w:rFonts w:hint="eastAsia" w:eastAsia="宋体"/>
          <w:szCs w:val="30"/>
          <w:lang w:eastAsia="zh-CN"/>
        </w:rPr>
        <w:drawing>
          <wp:inline distT="0" distB="0" distL="114300" distR="114300">
            <wp:extent cx="5267960" cy="1772285"/>
            <wp:effectExtent l="0" t="0" r="8890" b="18415"/>
            <wp:docPr id="12" name="图片 12" descr="16323827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32382757(1)"/>
                    <pic:cNvPicPr>
                      <a:picLocks noChangeAspect="1"/>
                    </pic:cNvPicPr>
                  </pic:nvPicPr>
                  <pic:blipFill>
                    <a:blip r:embed="rId12"/>
                    <a:stretch>
                      <a:fillRect/>
                    </a:stretch>
                  </pic:blipFill>
                  <pic:spPr>
                    <a:xfrm>
                      <a:off x="0" y="0"/>
                      <a:ext cx="5267960" cy="1772285"/>
                    </a:xfrm>
                    <a:prstGeom prst="rect">
                      <a:avLst/>
                    </a:prstGeom>
                  </pic:spPr>
                </pic:pic>
              </a:graphicData>
            </a:graphic>
          </wp:inline>
        </w:drawing>
      </w:r>
    </w:p>
    <w:p w14:paraId="72F6FFBF">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31E1DAB8">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2931160"/>
            <wp:effectExtent l="0" t="0" r="7620" b="2540"/>
            <wp:docPr id="3" name="图片 3" descr="16324496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32449622(1)"/>
                    <pic:cNvPicPr>
                      <a:picLocks noChangeAspect="1"/>
                    </pic:cNvPicPr>
                  </pic:nvPicPr>
                  <pic:blipFill>
                    <a:blip r:embed="rId13"/>
                    <a:stretch>
                      <a:fillRect/>
                    </a:stretch>
                  </pic:blipFill>
                  <pic:spPr>
                    <a:xfrm>
                      <a:off x="0" y="0"/>
                      <a:ext cx="5269230" cy="2931160"/>
                    </a:xfrm>
                    <a:prstGeom prst="rect">
                      <a:avLst/>
                    </a:prstGeom>
                  </pic:spPr>
                </pic:pic>
              </a:graphicData>
            </a:graphic>
          </wp:inline>
        </w:drawing>
      </w:r>
    </w:p>
    <w:p w14:paraId="447BD588">
      <w:pPr>
        <w:autoSpaceDE w:val="0"/>
        <w:autoSpaceDN w:val="0"/>
        <w:adjustRightInd w:val="0"/>
        <w:spacing w:line="360" w:lineRule="auto"/>
        <w:jc w:val="left"/>
        <w:rPr>
          <w:rFonts w:hint="eastAsia" w:ascii="宋体" w:hAnsi="宋体"/>
          <w:b/>
          <w:sz w:val="32"/>
          <w:szCs w:val="32"/>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7E0D9545">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2020</w:t>
      </w:r>
      <w:r>
        <w:rPr>
          <w:rFonts w:hint="eastAsia" w:ascii="宋体" w:hAnsi="宋体"/>
          <w:b/>
          <w:sz w:val="32"/>
          <w:szCs w:val="32"/>
        </w:rPr>
        <w:t>年度部门决算情况说明</w:t>
      </w:r>
    </w:p>
    <w:p w14:paraId="4B050174">
      <w:pPr>
        <w:ind w:firstLine="630"/>
        <w:jc w:val="left"/>
        <w:rPr>
          <w:rFonts w:hint="eastAsia" w:ascii="仿宋" w:hAnsi="仿宋" w:eastAsia="仿宋"/>
          <w:sz w:val="30"/>
          <w:szCs w:val="30"/>
        </w:rPr>
      </w:pPr>
    </w:p>
    <w:p w14:paraId="7497FB81">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0EE7339D">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本部门2020年度收入总计</w:t>
      </w:r>
      <w:r>
        <w:rPr>
          <w:rFonts w:hint="eastAsia" w:ascii="仿宋" w:hAnsi="仿宋" w:eastAsia="仿宋"/>
          <w:sz w:val="30"/>
          <w:szCs w:val="30"/>
          <w:lang w:val="en-US" w:eastAsia="zh-CN"/>
        </w:rPr>
        <w:t>62.93</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17.68</w:t>
      </w:r>
      <w:r>
        <w:rPr>
          <w:rFonts w:hint="eastAsia" w:ascii="仿宋" w:hAnsi="仿宋" w:eastAsia="仿宋"/>
          <w:sz w:val="30"/>
          <w:szCs w:val="30"/>
        </w:rPr>
        <w:t>万元，较2019年增加</w:t>
      </w:r>
      <w:r>
        <w:rPr>
          <w:rFonts w:hint="eastAsia" w:ascii="仿宋" w:hAnsi="仿宋" w:eastAsia="仿宋"/>
          <w:sz w:val="30"/>
          <w:szCs w:val="30"/>
          <w:lang w:val="en-US" w:eastAsia="zh-CN"/>
        </w:rPr>
        <w:t>6.77</w:t>
      </w:r>
      <w:r>
        <w:rPr>
          <w:rFonts w:hint="eastAsia" w:ascii="仿宋" w:hAnsi="仿宋" w:eastAsia="仿宋"/>
          <w:sz w:val="30"/>
          <w:szCs w:val="30"/>
        </w:rPr>
        <w:t>万元，增长</w:t>
      </w:r>
      <w:r>
        <w:rPr>
          <w:rFonts w:hint="eastAsia" w:ascii="仿宋" w:hAnsi="仿宋" w:eastAsia="仿宋"/>
          <w:sz w:val="30"/>
          <w:szCs w:val="30"/>
          <w:lang w:val="en-US" w:eastAsia="zh-CN"/>
        </w:rPr>
        <w:t>62.05</w:t>
      </w:r>
      <w:r>
        <w:rPr>
          <w:rFonts w:hint="eastAsia" w:ascii="仿宋" w:hAnsi="仿宋" w:eastAsia="仿宋"/>
          <w:sz w:val="30"/>
          <w:szCs w:val="30"/>
        </w:rPr>
        <w:t>%；本年收入合计</w:t>
      </w:r>
      <w:r>
        <w:rPr>
          <w:rFonts w:hint="eastAsia" w:ascii="仿宋" w:hAnsi="仿宋" w:eastAsia="仿宋"/>
          <w:sz w:val="30"/>
          <w:szCs w:val="30"/>
          <w:lang w:val="en-US" w:eastAsia="zh-CN"/>
        </w:rPr>
        <w:t>45.24</w:t>
      </w:r>
      <w:r>
        <w:rPr>
          <w:rFonts w:hint="eastAsia" w:ascii="仿宋" w:hAnsi="仿宋" w:eastAsia="仿宋"/>
          <w:sz w:val="30"/>
          <w:szCs w:val="30"/>
        </w:rPr>
        <w:t>万元，较2019年</w:t>
      </w:r>
      <w:r>
        <w:rPr>
          <w:rFonts w:hint="eastAsia" w:ascii="仿宋" w:hAnsi="仿宋" w:eastAsia="仿宋"/>
          <w:sz w:val="30"/>
          <w:szCs w:val="30"/>
          <w:lang w:val="en-US" w:eastAsia="zh-CN"/>
        </w:rPr>
        <w:t>减少2.09</w:t>
      </w:r>
      <w:r>
        <w:rPr>
          <w:rFonts w:hint="eastAsia" w:ascii="仿宋" w:hAnsi="仿宋" w:eastAsia="仿宋"/>
          <w:sz w:val="30"/>
          <w:szCs w:val="30"/>
        </w:rPr>
        <w:t>万元，</w:t>
      </w:r>
      <w:r>
        <w:rPr>
          <w:rFonts w:hint="eastAsia" w:ascii="仿宋" w:hAnsi="仿宋" w:eastAsia="仿宋"/>
          <w:sz w:val="30"/>
          <w:szCs w:val="30"/>
          <w:lang w:val="en-US" w:eastAsia="zh-CN"/>
        </w:rPr>
        <w:t>下降4.42</w:t>
      </w:r>
      <w:r>
        <w:rPr>
          <w:rFonts w:hint="eastAsia" w:ascii="仿宋" w:hAnsi="仿宋" w:eastAsia="仿宋"/>
          <w:sz w:val="30"/>
          <w:szCs w:val="30"/>
        </w:rPr>
        <w:t>%，主要原因是：</w:t>
      </w:r>
      <w:r>
        <w:rPr>
          <w:rFonts w:hint="eastAsia" w:ascii="仿宋" w:hAnsi="仿宋" w:eastAsia="仿宋"/>
          <w:sz w:val="30"/>
          <w:szCs w:val="30"/>
          <w:lang w:val="en-US" w:eastAsia="zh-CN"/>
        </w:rPr>
        <w:t>基本与上年度保持一致。</w:t>
      </w:r>
    </w:p>
    <w:p w14:paraId="199BA2D6">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32.24</w:t>
      </w:r>
      <w:r>
        <w:rPr>
          <w:rFonts w:hint="eastAsia" w:ascii="仿宋" w:hAnsi="仿宋" w:eastAsia="仿宋"/>
          <w:sz w:val="30"/>
          <w:szCs w:val="30"/>
        </w:rPr>
        <w:t>万元，占</w:t>
      </w:r>
      <w:r>
        <w:rPr>
          <w:rFonts w:hint="eastAsia" w:ascii="仿宋" w:hAnsi="仿宋" w:eastAsia="仿宋"/>
          <w:sz w:val="30"/>
          <w:szCs w:val="30"/>
          <w:lang w:val="en-US" w:eastAsia="zh-CN"/>
        </w:rPr>
        <w:t>71.26</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13</w:t>
      </w:r>
      <w:r>
        <w:rPr>
          <w:rFonts w:hint="eastAsia" w:ascii="仿宋" w:hAnsi="仿宋" w:eastAsia="仿宋"/>
          <w:sz w:val="30"/>
          <w:szCs w:val="30"/>
        </w:rPr>
        <w:t>万元，占</w:t>
      </w:r>
      <w:r>
        <w:rPr>
          <w:rFonts w:hint="eastAsia" w:ascii="仿宋" w:hAnsi="仿宋" w:eastAsia="仿宋"/>
          <w:sz w:val="30"/>
          <w:szCs w:val="30"/>
          <w:lang w:val="en-US" w:eastAsia="zh-CN"/>
        </w:rPr>
        <w:t>28.74</w:t>
      </w:r>
      <w:r>
        <w:rPr>
          <w:rFonts w:hint="eastAsia" w:ascii="仿宋" w:hAnsi="仿宋" w:eastAsia="仿宋"/>
          <w:sz w:val="30"/>
          <w:szCs w:val="30"/>
        </w:rPr>
        <w:t xml:space="preserve">%。  </w:t>
      </w:r>
    </w:p>
    <w:p w14:paraId="5330AC29">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2AB9DDA3">
      <w:pPr>
        <w:ind w:firstLine="630"/>
        <w:jc w:val="left"/>
        <w:rPr>
          <w:rFonts w:hint="eastAsia" w:ascii="仿宋" w:hAnsi="仿宋" w:eastAsia="仿宋"/>
          <w:sz w:val="30"/>
          <w:szCs w:val="30"/>
        </w:rPr>
      </w:pPr>
      <w:r>
        <w:rPr>
          <w:rFonts w:hint="eastAsia" w:ascii="仿宋" w:hAnsi="仿宋" w:eastAsia="仿宋"/>
          <w:sz w:val="30"/>
          <w:szCs w:val="30"/>
        </w:rPr>
        <w:t>本部门2020年度支出总计</w:t>
      </w:r>
      <w:r>
        <w:rPr>
          <w:rFonts w:hint="eastAsia" w:ascii="仿宋" w:hAnsi="仿宋" w:eastAsia="仿宋"/>
          <w:sz w:val="30"/>
          <w:szCs w:val="30"/>
          <w:lang w:val="en-US" w:eastAsia="zh-CN"/>
        </w:rPr>
        <w:t>62.93</w:t>
      </w:r>
      <w:r>
        <w:rPr>
          <w:rFonts w:hint="eastAsia" w:ascii="仿宋" w:hAnsi="仿宋" w:eastAsia="仿宋"/>
          <w:sz w:val="30"/>
          <w:szCs w:val="30"/>
        </w:rPr>
        <w:t>元，其中本年支出合计</w:t>
      </w:r>
      <w:r>
        <w:rPr>
          <w:rFonts w:hint="eastAsia" w:ascii="仿宋" w:hAnsi="仿宋" w:eastAsia="仿宋"/>
          <w:sz w:val="30"/>
          <w:szCs w:val="30"/>
          <w:lang w:val="en-US" w:eastAsia="zh-CN"/>
        </w:rPr>
        <w:t>40.68</w:t>
      </w:r>
      <w:r>
        <w:rPr>
          <w:rFonts w:hint="eastAsia" w:ascii="仿宋" w:hAnsi="仿宋" w:eastAsia="仿宋"/>
          <w:sz w:val="30"/>
          <w:szCs w:val="30"/>
        </w:rPr>
        <w:t>万元，较2019年增加</w:t>
      </w:r>
      <w:r>
        <w:rPr>
          <w:rFonts w:hint="eastAsia" w:ascii="仿宋" w:hAnsi="仿宋" w:eastAsia="仿宋"/>
          <w:sz w:val="30"/>
          <w:szCs w:val="30"/>
          <w:lang w:val="en-US" w:eastAsia="zh-CN"/>
        </w:rPr>
        <w:t>0.12</w:t>
      </w:r>
      <w:r>
        <w:rPr>
          <w:rFonts w:hint="eastAsia" w:ascii="仿宋" w:hAnsi="仿宋" w:eastAsia="仿宋"/>
          <w:sz w:val="30"/>
          <w:szCs w:val="30"/>
        </w:rPr>
        <w:t>万元，增长</w:t>
      </w:r>
      <w:r>
        <w:rPr>
          <w:rFonts w:hint="eastAsia" w:ascii="仿宋" w:hAnsi="仿宋" w:eastAsia="仿宋"/>
          <w:sz w:val="30"/>
          <w:szCs w:val="30"/>
          <w:lang w:val="en-US" w:eastAsia="zh-CN"/>
        </w:rPr>
        <w:t>0.3</w:t>
      </w:r>
      <w:r>
        <w:rPr>
          <w:rFonts w:hint="eastAsia" w:ascii="仿宋" w:hAnsi="仿宋" w:eastAsia="仿宋"/>
          <w:sz w:val="30"/>
          <w:szCs w:val="30"/>
        </w:rPr>
        <w:t>%，主要原因是：</w:t>
      </w:r>
      <w:r>
        <w:rPr>
          <w:rFonts w:hint="eastAsia" w:ascii="仿宋" w:hAnsi="仿宋" w:eastAsia="仿宋"/>
          <w:sz w:val="30"/>
          <w:szCs w:val="30"/>
          <w:lang w:val="en-US" w:eastAsia="zh-CN"/>
        </w:rPr>
        <w:t>正常工资晋级晋档</w:t>
      </w:r>
      <w:r>
        <w:rPr>
          <w:rFonts w:hint="eastAsia" w:ascii="仿宋" w:hAnsi="仿宋" w:eastAsia="仿宋"/>
          <w:sz w:val="30"/>
          <w:szCs w:val="30"/>
        </w:rPr>
        <w:t>；年末结转和结余</w:t>
      </w:r>
      <w:r>
        <w:rPr>
          <w:rFonts w:hint="eastAsia" w:ascii="仿宋" w:hAnsi="仿宋" w:eastAsia="仿宋"/>
          <w:sz w:val="30"/>
          <w:szCs w:val="30"/>
          <w:lang w:val="en-US" w:eastAsia="zh-CN"/>
        </w:rPr>
        <w:t>22.24</w:t>
      </w:r>
      <w:r>
        <w:rPr>
          <w:rFonts w:hint="eastAsia" w:ascii="仿宋" w:hAnsi="仿宋" w:eastAsia="仿宋"/>
          <w:sz w:val="30"/>
          <w:szCs w:val="30"/>
        </w:rPr>
        <w:t>万元，较2019年增加</w:t>
      </w:r>
      <w:r>
        <w:rPr>
          <w:rFonts w:hint="eastAsia" w:ascii="仿宋" w:hAnsi="仿宋" w:eastAsia="仿宋"/>
          <w:sz w:val="30"/>
          <w:szCs w:val="30"/>
          <w:lang w:val="en-US" w:eastAsia="zh-CN"/>
        </w:rPr>
        <w:t>4.56</w:t>
      </w:r>
      <w:r>
        <w:rPr>
          <w:rFonts w:hint="eastAsia" w:ascii="仿宋" w:hAnsi="仿宋" w:eastAsia="仿宋"/>
          <w:sz w:val="30"/>
          <w:szCs w:val="30"/>
        </w:rPr>
        <w:t>万元，增长</w:t>
      </w:r>
      <w:r>
        <w:rPr>
          <w:rFonts w:hint="eastAsia" w:ascii="仿宋" w:hAnsi="仿宋" w:eastAsia="仿宋"/>
          <w:sz w:val="30"/>
          <w:szCs w:val="30"/>
          <w:lang w:val="en-US" w:eastAsia="zh-CN"/>
        </w:rPr>
        <w:t>25.79</w:t>
      </w:r>
      <w:r>
        <w:rPr>
          <w:rFonts w:hint="eastAsia" w:ascii="仿宋" w:hAnsi="仿宋" w:eastAsia="仿宋"/>
          <w:sz w:val="30"/>
          <w:szCs w:val="30"/>
        </w:rPr>
        <w:t>%，主要原因是：</w:t>
      </w:r>
      <w:r>
        <w:rPr>
          <w:rFonts w:hint="eastAsia" w:ascii="仿宋" w:hAnsi="仿宋" w:eastAsia="仿宋"/>
          <w:sz w:val="30"/>
          <w:szCs w:val="30"/>
          <w:lang w:val="en-US" w:eastAsia="zh-CN"/>
        </w:rPr>
        <w:t>疫情影响，减少祭扫活动</w:t>
      </w:r>
      <w:r>
        <w:rPr>
          <w:rFonts w:hint="eastAsia" w:ascii="仿宋" w:hAnsi="仿宋" w:eastAsia="仿宋"/>
          <w:sz w:val="30"/>
          <w:szCs w:val="30"/>
        </w:rPr>
        <w:t>。</w:t>
      </w:r>
    </w:p>
    <w:p w14:paraId="20B64447">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40.68</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404A5FF9">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1781987C">
      <w:pPr>
        <w:ind w:firstLine="630"/>
        <w:jc w:val="left"/>
        <w:rPr>
          <w:rFonts w:hint="eastAsia" w:ascii="仿宋" w:hAnsi="仿宋" w:eastAsia="仿宋"/>
          <w:sz w:val="30"/>
          <w:szCs w:val="30"/>
        </w:rPr>
      </w:pPr>
      <w:r>
        <w:rPr>
          <w:rFonts w:hint="eastAsia" w:ascii="仿宋" w:hAnsi="仿宋" w:eastAsia="仿宋"/>
          <w:sz w:val="30"/>
          <w:szCs w:val="30"/>
        </w:rPr>
        <w:t>本部门2020年度财政拨款本年支出年初预算数为</w:t>
      </w:r>
      <w:r>
        <w:rPr>
          <w:rFonts w:hint="eastAsia" w:ascii="仿宋" w:hAnsi="仿宋" w:eastAsia="仿宋"/>
          <w:sz w:val="30"/>
          <w:szCs w:val="30"/>
          <w:lang w:val="en-US" w:eastAsia="zh-CN"/>
        </w:rPr>
        <w:t>29.76</w:t>
      </w:r>
      <w:r>
        <w:rPr>
          <w:rFonts w:hint="eastAsia" w:ascii="仿宋" w:hAnsi="仿宋" w:eastAsia="仿宋"/>
          <w:sz w:val="30"/>
          <w:szCs w:val="30"/>
        </w:rPr>
        <w:t>万元，决算数为</w:t>
      </w:r>
      <w:r>
        <w:rPr>
          <w:rFonts w:hint="eastAsia" w:ascii="仿宋" w:hAnsi="仿宋" w:eastAsia="仿宋"/>
          <w:sz w:val="30"/>
          <w:szCs w:val="30"/>
          <w:lang w:val="en-US" w:eastAsia="zh-CN"/>
        </w:rPr>
        <w:t>35.3</w:t>
      </w:r>
      <w:r>
        <w:rPr>
          <w:rFonts w:hint="eastAsia" w:ascii="仿宋" w:hAnsi="仿宋" w:eastAsia="仿宋"/>
          <w:sz w:val="30"/>
          <w:szCs w:val="30"/>
        </w:rPr>
        <w:t>万元，完成年初预算的</w:t>
      </w:r>
      <w:r>
        <w:rPr>
          <w:rFonts w:hint="eastAsia" w:ascii="仿宋" w:hAnsi="仿宋" w:eastAsia="仿宋"/>
          <w:sz w:val="30"/>
          <w:szCs w:val="30"/>
          <w:lang w:val="en-US" w:eastAsia="zh-CN"/>
        </w:rPr>
        <w:t>118.62</w:t>
      </w:r>
      <w:r>
        <w:rPr>
          <w:rFonts w:hint="eastAsia" w:ascii="仿宋" w:hAnsi="仿宋" w:eastAsia="仿宋"/>
          <w:sz w:val="30"/>
          <w:szCs w:val="30"/>
        </w:rPr>
        <w:t>%。其中：</w:t>
      </w:r>
    </w:p>
    <w:p w14:paraId="44BC25C9">
      <w:pPr>
        <w:numPr>
          <w:ilvl w:val="0"/>
          <w:numId w:val="2"/>
        </w:num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26.13</w:t>
      </w:r>
      <w:r>
        <w:rPr>
          <w:rFonts w:hint="eastAsia" w:ascii="仿宋" w:hAnsi="仿宋" w:eastAsia="仿宋"/>
          <w:sz w:val="30"/>
          <w:szCs w:val="30"/>
        </w:rPr>
        <w:t>万元，决算数为</w:t>
      </w:r>
      <w:r>
        <w:rPr>
          <w:rFonts w:hint="eastAsia" w:ascii="仿宋" w:hAnsi="仿宋" w:eastAsia="仿宋"/>
          <w:sz w:val="30"/>
          <w:szCs w:val="30"/>
          <w:lang w:val="en-US" w:eastAsia="zh-CN"/>
        </w:rPr>
        <w:t>31.68</w:t>
      </w:r>
      <w:r>
        <w:rPr>
          <w:rFonts w:hint="eastAsia" w:ascii="仿宋" w:hAnsi="仿宋" w:eastAsia="仿宋"/>
          <w:sz w:val="30"/>
          <w:szCs w:val="30"/>
        </w:rPr>
        <w:t>万元，完成年初预算的</w:t>
      </w:r>
      <w:r>
        <w:rPr>
          <w:rFonts w:hint="eastAsia" w:ascii="仿宋" w:hAnsi="仿宋" w:eastAsia="仿宋"/>
          <w:sz w:val="30"/>
          <w:szCs w:val="30"/>
          <w:lang w:val="en-US" w:eastAsia="zh-CN"/>
        </w:rPr>
        <w:t>121.24</w:t>
      </w:r>
      <w:r>
        <w:rPr>
          <w:rFonts w:hint="eastAsia" w:ascii="仿宋" w:hAnsi="仿宋" w:eastAsia="仿宋"/>
          <w:sz w:val="30"/>
          <w:szCs w:val="30"/>
        </w:rPr>
        <w:t>%，主要原因是：</w:t>
      </w:r>
      <w:r>
        <w:rPr>
          <w:rFonts w:hint="eastAsia" w:ascii="仿宋" w:hAnsi="仿宋" w:eastAsia="仿宋"/>
          <w:sz w:val="30"/>
          <w:szCs w:val="30"/>
          <w:lang w:val="en-US" w:eastAsia="zh-CN"/>
        </w:rPr>
        <w:t>新增财政兜底绩效奖金。</w:t>
      </w:r>
    </w:p>
    <w:p w14:paraId="3992E0F0">
      <w:pPr>
        <w:numPr>
          <w:ilvl w:val="0"/>
          <w:numId w:val="0"/>
        </w:numPr>
        <w:ind w:firstLine="600" w:firstLineChars="200"/>
        <w:jc w:val="left"/>
        <w:rPr>
          <w:rFonts w:hint="eastAsia" w:ascii="仿宋" w:hAnsi="仿宋" w:eastAsia="仿宋"/>
          <w:sz w:val="30"/>
          <w:szCs w:val="30"/>
          <w:lang w:eastAsia="zh-CN"/>
        </w:rPr>
      </w:pPr>
      <w:r>
        <w:rPr>
          <w:rFonts w:hint="eastAsia" w:ascii="仿宋" w:hAnsi="仿宋" w:eastAsia="仿宋"/>
          <w:sz w:val="30"/>
          <w:szCs w:val="30"/>
        </w:rPr>
        <w:t>（</w:t>
      </w:r>
      <w:r>
        <w:rPr>
          <w:rFonts w:hint="eastAsia" w:ascii="仿宋" w:hAnsi="仿宋" w:eastAsia="仿宋"/>
          <w:sz w:val="30"/>
          <w:szCs w:val="30"/>
          <w:lang w:val="en-US" w:eastAsia="zh-CN"/>
        </w:rPr>
        <w:t>二</w:t>
      </w:r>
      <w:r>
        <w:rPr>
          <w:rFonts w:hint="eastAsia" w:ascii="仿宋" w:hAnsi="仿宋" w:eastAsia="仿宋"/>
          <w:sz w:val="30"/>
          <w:szCs w:val="30"/>
        </w:rPr>
        <w:t>）</w:t>
      </w:r>
      <w:r>
        <w:rPr>
          <w:rFonts w:hint="eastAsia" w:ascii="仿宋" w:hAnsi="仿宋" w:eastAsia="仿宋"/>
          <w:sz w:val="30"/>
          <w:szCs w:val="30"/>
          <w:lang w:eastAsia="zh-CN"/>
        </w:rPr>
        <w:t>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1.62</w:t>
      </w:r>
      <w:r>
        <w:rPr>
          <w:rFonts w:hint="eastAsia" w:ascii="仿宋" w:hAnsi="仿宋" w:eastAsia="仿宋"/>
          <w:sz w:val="30"/>
          <w:szCs w:val="30"/>
        </w:rPr>
        <w:t>万元，决算数为</w:t>
      </w:r>
      <w:r>
        <w:rPr>
          <w:rFonts w:hint="eastAsia" w:ascii="仿宋" w:hAnsi="仿宋" w:eastAsia="仿宋"/>
          <w:sz w:val="30"/>
          <w:szCs w:val="30"/>
          <w:lang w:val="en-US" w:eastAsia="zh-CN"/>
        </w:rPr>
        <w:t>1.62</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14:paraId="7CD9759C">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（三）住房保障支出年初预算数为2.01万元，决算数为2.01万元，完成年初预算的100%。</w:t>
      </w:r>
    </w:p>
    <w:p w14:paraId="3A44D7E2">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5DFFA071">
      <w:pPr>
        <w:ind w:firstLine="585"/>
        <w:jc w:val="left"/>
        <w:rPr>
          <w:rFonts w:hint="eastAsia" w:ascii="仿宋" w:hAnsi="仿宋" w:eastAsia="仿宋"/>
          <w:sz w:val="30"/>
          <w:szCs w:val="30"/>
        </w:rPr>
      </w:pPr>
      <w:r>
        <w:rPr>
          <w:rFonts w:hint="eastAsia" w:ascii="仿宋" w:hAnsi="仿宋" w:eastAsia="仿宋"/>
          <w:sz w:val="30"/>
          <w:szCs w:val="30"/>
        </w:rPr>
        <w:t>本部门2020年度一般公共预算财政拨款基本支出</w:t>
      </w:r>
      <w:r>
        <w:rPr>
          <w:rFonts w:hint="eastAsia" w:ascii="仿宋" w:hAnsi="仿宋" w:eastAsia="仿宋"/>
          <w:sz w:val="30"/>
          <w:szCs w:val="30"/>
          <w:lang w:val="en-US" w:eastAsia="zh-CN"/>
        </w:rPr>
        <w:t>35.3</w:t>
      </w:r>
      <w:r>
        <w:rPr>
          <w:rFonts w:hint="eastAsia" w:ascii="仿宋" w:hAnsi="仿宋" w:eastAsia="仿宋"/>
          <w:sz w:val="30"/>
          <w:szCs w:val="30"/>
        </w:rPr>
        <w:t>万元，其中：</w:t>
      </w:r>
    </w:p>
    <w:p w14:paraId="439FBABF">
      <w:pPr>
        <w:numPr>
          <w:ilvl w:val="0"/>
          <w:numId w:val="3"/>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33.7</w:t>
      </w:r>
      <w:r>
        <w:rPr>
          <w:rFonts w:hint="eastAsia" w:ascii="仿宋" w:hAnsi="仿宋" w:eastAsia="仿宋"/>
          <w:sz w:val="30"/>
          <w:szCs w:val="30"/>
        </w:rPr>
        <w:t>万元，较2019年增加</w:t>
      </w:r>
      <w:r>
        <w:rPr>
          <w:rFonts w:hint="eastAsia" w:ascii="仿宋" w:hAnsi="仿宋" w:eastAsia="仿宋"/>
          <w:sz w:val="30"/>
          <w:szCs w:val="30"/>
          <w:lang w:val="en-US" w:eastAsia="zh-CN"/>
        </w:rPr>
        <w:t>14.99</w:t>
      </w:r>
      <w:r>
        <w:rPr>
          <w:rFonts w:hint="eastAsia" w:ascii="仿宋" w:hAnsi="仿宋" w:eastAsia="仿宋"/>
          <w:sz w:val="30"/>
          <w:szCs w:val="30"/>
        </w:rPr>
        <w:t>万元，增长</w:t>
      </w:r>
      <w:r>
        <w:rPr>
          <w:rFonts w:hint="eastAsia" w:ascii="仿宋" w:hAnsi="仿宋" w:eastAsia="仿宋"/>
          <w:sz w:val="30"/>
          <w:szCs w:val="30"/>
          <w:lang w:val="en-US" w:eastAsia="zh-CN"/>
        </w:rPr>
        <w:t>80.12</w:t>
      </w:r>
      <w:r>
        <w:rPr>
          <w:rFonts w:hint="eastAsia" w:ascii="仿宋" w:hAnsi="仿宋" w:eastAsia="仿宋"/>
          <w:sz w:val="30"/>
          <w:szCs w:val="30"/>
        </w:rPr>
        <w:t>%，主要原因是：</w:t>
      </w:r>
      <w:r>
        <w:rPr>
          <w:rFonts w:hint="eastAsia" w:ascii="仿宋" w:hAnsi="仿宋" w:eastAsia="仿宋"/>
          <w:sz w:val="30"/>
          <w:szCs w:val="30"/>
          <w:lang w:val="en-US" w:eastAsia="zh-CN"/>
        </w:rPr>
        <w:t>工资正常晋级晋档及新增发放绩效奖金。</w:t>
      </w:r>
    </w:p>
    <w:p w14:paraId="5916664A">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1.61</w:t>
      </w:r>
      <w:r>
        <w:rPr>
          <w:rFonts w:hint="eastAsia" w:ascii="仿宋" w:hAnsi="仿宋" w:eastAsia="仿宋"/>
          <w:sz w:val="30"/>
          <w:szCs w:val="30"/>
        </w:rPr>
        <w:t>万元，较2019年</w:t>
      </w:r>
      <w:r>
        <w:rPr>
          <w:rFonts w:hint="eastAsia" w:ascii="仿宋" w:hAnsi="仿宋" w:eastAsia="仿宋"/>
          <w:sz w:val="30"/>
          <w:szCs w:val="30"/>
          <w:lang w:val="en-US" w:eastAsia="zh-CN"/>
        </w:rPr>
        <w:t>减少6.25</w:t>
      </w:r>
      <w:r>
        <w:rPr>
          <w:rFonts w:hint="eastAsia" w:ascii="仿宋" w:hAnsi="仿宋" w:eastAsia="仿宋"/>
          <w:sz w:val="30"/>
          <w:szCs w:val="30"/>
        </w:rPr>
        <w:t>万元，</w:t>
      </w:r>
      <w:r>
        <w:rPr>
          <w:rFonts w:hint="eastAsia" w:ascii="仿宋" w:hAnsi="仿宋" w:eastAsia="仿宋"/>
          <w:sz w:val="30"/>
          <w:szCs w:val="30"/>
          <w:lang w:val="en-US" w:eastAsia="zh-CN"/>
        </w:rPr>
        <w:t>下降79.52</w:t>
      </w:r>
      <w:r>
        <w:rPr>
          <w:rFonts w:hint="eastAsia" w:ascii="仿宋" w:hAnsi="仿宋" w:eastAsia="仿宋"/>
          <w:sz w:val="30"/>
          <w:szCs w:val="30"/>
        </w:rPr>
        <w:t>%，主要原因是：</w:t>
      </w:r>
      <w:r>
        <w:rPr>
          <w:rFonts w:hint="eastAsia" w:ascii="仿宋" w:hAnsi="仿宋" w:eastAsia="仿宋"/>
          <w:sz w:val="30"/>
          <w:szCs w:val="30"/>
          <w:lang w:val="en-US" w:eastAsia="zh-CN"/>
        </w:rPr>
        <w:t>疫情影响，减少公祭活动支出</w:t>
      </w:r>
      <w:r>
        <w:rPr>
          <w:rFonts w:hint="eastAsia" w:ascii="仿宋" w:hAnsi="仿宋" w:eastAsia="仿宋"/>
          <w:sz w:val="30"/>
          <w:szCs w:val="30"/>
        </w:rPr>
        <w:t>。</w:t>
      </w:r>
    </w:p>
    <w:p w14:paraId="10611A87">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24BA7E2A">
      <w:pPr>
        <w:pStyle w:val="2"/>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sz w:val="30"/>
          <w:szCs w:val="30"/>
        </w:rPr>
        <w:t>本部门2020年度一般公共预算财政拨款“三公”经费支出年初预算数为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cs="仿宋"/>
          <w:sz w:val="30"/>
          <w:szCs w:val="30"/>
          <w:lang w:val="en-US" w:eastAsia="zh-CN"/>
        </w:rPr>
        <w:t>因除单位日常运行及维护外无其他“三公”经费相关支出。</w:t>
      </w:r>
    </w:p>
    <w:p w14:paraId="0AA18D82">
      <w:pPr>
        <w:ind w:firstLine="630"/>
        <w:jc w:val="left"/>
        <w:rPr>
          <w:rFonts w:hint="eastAsia" w:ascii="仿宋" w:hAnsi="仿宋" w:eastAsia="仿宋"/>
          <w:sz w:val="30"/>
          <w:szCs w:val="30"/>
        </w:rPr>
      </w:pPr>
      <w:r>
        <w:rPr>
          <w:rFonts w:hint="eastAsia" w:ascii="仿宋" w:hAnsi="仿宋" w:eastAsia="仿宋"/>
          <w:sz w:val="30"/>
          <w:szCs w:val="30"/>
        </w:rPr>
        <w:t>其中：</w:t>
      </w:r>
    </w:p>
    <w:p w14:paraId="537F5542">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6D06855E">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无增减变动。全年国内公务接待0批，累计接待0人次，其中外事接待0批，累计接待0人次，</w:t>
      </w:r>
      <w:r>
        <w:rPr>
          <w:rFonts w:hint="eastAsia" w:ascii="仿宋" w:hAnsi="仿宋" w:eastAsia="仿宋"/>
          <w:sz w:val="30"/>
          <w:szCs w:val="30"/>
        </w:rPr>
        <w:t>。</w:t>
      </w:r>
    </w:p>
    <w:p w14:paraId="77F8428F">
      <w:pPr>
        <w:ind w:firstLine="630"/>
        <w:jc w:val="left"/>
        <w:rPr>
          <w:rFonts w:hint="eastAsia" w:ascii="仿宋" w:hAnsi="仿宋" w:eastAsia="仿宋"/>
          <w:sz w:val="30"/>
          <w:szCs w:val="30"/>
          <w:lang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p>
    <w:p w14:paraId="2A6356A5">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23365F11">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本部门2020年度机关运行经费支出</w:t>
      </w:r>
      <w:r>
        <w:rPr>
          <w:rFonts w:hint="eastAsia" w:ascii="仿宋" w:hAnsi="仿宋" w:eastAsia="仿宋"/>
          <w:sz w:val="30"/>
          <w:szCs w:val="30"/>
          <w:lang w:val="en-US" w:eastAsia="zh-CN"/>
        </w:rPr>
        <w:t>1.61</w:t>
      </w:r>
      <w:r>
        <w:rPr>
          <w:rFonts w:hint="eastAsia" w:ascii="仿宋" w:hAnsi="仿宋" w:eastAsia="仿宋"/>
          <w:sz w:val="30"/>
          <w:szCs w:val="30"/>
        </w:rPr>
        <w:t>万元（与部门决算中行政单位和参照公务员法管理事业单位一般公共预算财政拨款基本支出中公用经费之和一致），较2019年</w:t>
      </w:r>
      <w:r>
        <w:rPr>
          <w:rFonts w:hint="eastAsia" w:ascii="仿宋" w:hAnsi="仿宋" w:eastAsia="仿宋"/>
          <w:sz w:val="30"/>
          <w:szCs w:val="30"/>
          <w:lang w:val="en-US" w:eastAsia="zh-CN"/>
        </w:rPr>
        <w:t>减少6.25</w:t>
      </w:r>
      <w:r>
        <w:rPr>
          <w:rFonts w:hint="eastAsia" w:ascii="仿宋" w:hAnsi="仿宋" w:eastAsia="仿宋"/>
          <w:sz w:val="30"/>
          <w:szCs w:val="30"/>
        </w:rPr>
        <w:t>万元，</w:t>
      </w:r>
      <w:r>
        <w:rPr>
          <w:rFonts w:hint="eastAsia" w:ascii="仿宋" w:hAnsi="仿宋" w:eastAsia="仿宋"/>
          <w:sz w:val="30"/>
          <w:szCs w:val="30"/>
          <w:lang w:val="en-US" w:eastAsia="zh-CN"/>
        </w:rPr>
        <w:t>下降79.52</w:t>
      </w:r>
      <w:r>
        <w:rPr>
          <w:rFonts w:hint="eastAsia" w:ascii="仿宋" w:hAnsi="仿宋" w:eastAsia="仿宋"/>
          <w:sz w:val="30"/>
          <w:szCs w:val="30"/>
        </w:rPr>
        <w:t>%，主要原因是：</w:t>
      </w:r>
      <w:r>
        <w:rPr>
          <w:rFonts w:hint="eastAsia" w:ascii="仿宋" w:hAnsi="仿宋" w:eastAsia="仿宋"/>
          <w:sz w:val="30"/>
          <w:szCs w:val="30"/>
          <w:lang w:val="en-US" w:eastAsia="zh-CN"/>
        </w:rPr>
        <w:t>疫情影响，减少公祭活动支出</w:t>
      </w:r>
      <w:r>
        <w:rPr>
          <w:rFonts w:hint="eastAsia" w:ascii="仿宋" w:hAnsi="仿宋" w:eastAsia="仿宋"/>
          <w:sz w:val="30"/>
          <w:szCs w:val="30"/>
        </w:rPr>
        <w:t>。</w:t>
      </w:r>
    </w:p>
    <w:p w14:paraId="0705CB7D">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2F8E06B3">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2020</w:t>
      </w:r>
      <w:r>
        <w:rPr>
          <w:rFonts w:hint="eastAsia" w:ascii="仿宋" w:hAnsi="仿宋" w:eastAsia="仿宋"/>
          <w:sz w:val="30"/>
          <w:szCs w:val="30"/>
        </w:rPr>
        <w:t>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w:t>
      </w:r>
    </w:p>
    <w:p w14:paraId="16A7FB0D">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1A235236">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rPr>
        <w:t>2020年12月31日，本部门</w:t>
      </w:r>
      <w:r>
        <w:rPr>
          <w:rFonts w:hint="eastAsia" w:ascii="仿宋" w:hAnsi="仿宋" w:eastAsia="仿宋"/>
          <w:kern w:val="0"/>
          <w:sz w:val="30"/>
          <w:szCs w:val="30"/>
          <w:lang w:eastAsia="zh-CN"/>
        </w:rPr>
        <w:t>（</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w:t>
      </w:r>
      <w:r>
        <w:rPr>
          <w:rFonts w:hint="eastAsia" w:ascii="仿宋" w:hAnsi="仿宋" w:eastAsia="仿宋"/>
          <w:kern w:val="0"/>
          <w:sz w:val="30"/>
          <w:szCs w:val="30"/>
        </w:rPr>
        <w:t>其中车辆中的其他用车主要是</w:t>
      </w:r>
      <w:r>
        <w:rPr>
          <w:rFonts w:hint="eastAsia" w:ascii="仿宋" w:hAnsi="仿宋" w:eastAsia="仿宋"/>
          <w:kern w:val="0"/>
          <w:sz w:val="30"/>
          <w:szCs w:val="30"/>
          <w:lang w:val="en-US" w:eastAsia="zh-CN"/>
        </w:rPr>
        <w:t>本部门共有车辆0辆；单位价值50万元以上通用设备0台（套）；单位价值100万元以上专用设备0台（套）。</w:t>
      </w:r>
    </w:p>
    <w:p w14:paraId="774BBFAB">
      <w:pPr>
        <w:ind w:firstLine="630"/>
        <w:jc w:val="left"/>
        <w:rPr>
          <w:rFonts w:hint="eastAsia" w:ascii="黑体" w:hAnsi="黑体" w:eastAsia="黑体"/>
          <w:sz w:val="30"/>
          <w:szCs w:val="30"/>
        </w:rPr>
      </w:pPr>
    </w:p>
    <w:p w14:paraId="7C9B730A">
      <w:pPr>
        <w:ind w:firstLine="630"/>
        <w:jc w:val="left"/>
        <w:rPr>
          <w:rFonts w:hint="eastAsia" w:ascii="黑体" w:hAnsi="黑体" w:eastAsia="黑体"/>
          <w:sz w:val="30"/>
          <w:szCs w:val="30"/>
        </w:rPr>
      </w:pPr>
    </w:p>
    <w:p w14:paraId="647E23FD">
      <w:pPr>
        <w:ind w:firstLine="630"/>
        <w:jc w:val="left"/>
        <w:rPr>
          <w:rFonts w:hint="eastAsia" w:ascii="黑体" w:hAnsi="黑体" w:eastAsia="黑体"/>
          <w:sz w:val="30"/>
          <w:szCs w:val="30"/>
        </w:rPr>
      </w:pPr>
    </w:p>
    <w:p w14:paraId="20C04785">
      <w:pPr>
        <w:ind w:firstLine="630"/>
        <w:jc w:val="left"/>
        <w:rPr>
          <w:rFonts w:hint="eastAsia" w:ascii="仿宋" w:hAnsi="仿宋" w:eastAsia="仿宋" w:cs="仿宋"/>
          <w:b/>
          <w:bCs/>
          <w:sz w:val="30"/>
          <w:szCs w:val="30"/>
          <w:lang w:val="en-US" w:eastAsia="zh-CN"/>
        </w:rPr>
      </w:pPr>
      <w:r>
        <w:rPr>
          <w:rFonts w:hint="eastAsia" w:ascii="黑体" w:hAnsi="黑体" w:eastAsia="黑体"/>
          <w:sz w:val="30"/>
          <w:szCs w:val="30"/>
        </w:rPr>
        <w:t>九、预算绩效情况说明</w:t>
      </w:r>
    </w:p>
    <w:p w14:paraId="012390B3">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0678AF17">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20年度一般公共预算项目支出</w:t>
      </w:r>
      <w:r>
        <w:rPr>
          <w:rFonts w:hint="eastAsia" w:ascii="仿宋" w:hAnsi="仿宋" w:eastAsia="仿宋" w:cs="仿宋_GB2312"/>
          <w:kern w:val="0"/>
          <w:sz w:val="30"/>
          <w:szCs w:val="30"/>
          <w:lang w:val="en-US" w:eastAsia="zh-CN"/>
        </w:rPr>
        <w:t>所有二级项目0个</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3411B566">
      <w:pPr>
        <w:autoSpaceDE w:val="0"/>
        <w:autoSpaceDN w:val="0"/>
        <w:adjustRightInd w:val="0"/>
        <w:spacing w:line="360" w:lineRule="auto"/>
        <w:ind w:firstLine="600" w:firstLineChars="2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我单位</w:t>
      </w:r>
      <w:r>
        <w:rPr>
          <w:rFonts w:hint="eastAsia" w:ascii="仿宋" w:hAnsi="仿宋" w:eastAsia="仿宋" w:cs="仿宋_GB2312"/>
          <w:kern w:val="0"/>
          <w:sz w:val="30"/>
          <w:szCs w:val="30"/>
        </w:rPr>
        <w:t>开展</w:t>
      </w:r>
      <w:r>
        <w:rPr>
          <w:rFonts w:hint="eastAsia" w:ascii="仿宋" w:hAnsi="仿宋" w:eastAsia="仿宋" w:cs="仿宋_GB2312"/>
          <w:kern w:val="0"/>
          <w:sz w:val="30"/>
          <w:szCs w:val="30"/>
          <w:lang w:val="en-US" w:eastAsia="zh-CN"/>
        </w:rPr>
        <w:t>整体支出绩效评价</w:t>
      </w:r>
      <w:r>
        <w:rPr>
          <w:rFonts w:hint="eastAsia" w:ascii="仿宋" w:hAnsi="仿宋" w:eastAsia="仿宋" w:cs="仿宋_GB2312"/>
          <w:kern w:val="0"/>
          <w:sz w:val="30"/>
          <w:szCs w:val="30"/>
        </w:rPr>
        <w:t>，涉及一般公共预算支出</w:t>
      </w:r>
      <w:r>
        <w:rPr>
          <w:rFonts w:hint="eastAsia" w:ascii="仿宋" w:hAnsi="仿宋" w:eastAsia="仿宋" w:cs="仿宋_GB2312"/>
          <w:kern w:val="0"/>
          <w:sz w:val="30"/>
          <w:szCs w:val="30"/>
          <w:lang w:val="en-US" w:eastAsia="zh-CN"/>
        </w:rPr>
        <w:t>32.24</w:t>
      </w:r>
      <w:r>
        <w:rPr>
          <w:rFonts w:hint="eastAsia" w:ascii="仿宋" w:hAnsi="仿宋" w:eastAsia="仿宋" w:cs="仿宋_GB2312"/>
          <w:kern w:val="0"/>
          <w:sz w:val="30"/>
          <w:szCs w:val="30"/>
        </w:rPr>
        <w:t>万元</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政府性基金预算支出0万元</w:t>
      </w:r>
      <w:r>
        <w:rPr>
          <w:rFonts w:hint="eastAsia" w:ascii="仿宋" w:hAnsi="仿宋" w:eastAsia="仿宋" w:cs="仿宋_GB2312"/>
          <w:kern w:val="0"/>
          <w:sz w:val="30"/>
          <w:szCs w:val="30"/>
        </w:rPr>
        <w:t>。从评价情况来看，</w:t>
      </w:r>
      <w:r>
        <w:rPr>
          <w:rFonts w:hint="eastAsia" w:ascii="仿宋" w:hAnsi="仿宋" w:eastAsia="仿宋" w:cs="仿宋_GB2312"/>
          <w:kern w:val="0"/>
          <w:sz w:val="30"/>
          <w:szCs w:val="30"/>
          <w:lang w:val="en-US" w:eastAsia="zh-CN"/>
        </w:rPr>
        <w:t>我单位2020年单位整体支出财政拨款收入资金管理规范，政策执行有力，有效发挥了财政资金的使用效率，基本保障了我单位范围内相关工作的有序开展。</w:t>
      </w:r>
    </w:p>
    <w:p w14:paraId="650B264A">
      <w:pPr>
        <w:autoSpaceDE w:val="0"/>
        <w:autoSpaceDN w:val="0"/>
        <w:adjustRightInd w:val="0"/>
        <w:spacing w:line="360" w:lineRule="auto"/>
        <w:ind w:firstLine="585"/>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（二）部门决算中项目绩效自评结果。</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应当将2020年度市级部门决算项目绩效自评综述和《项目支出绩效自评表》进行公开。）</w:t>
      </w:r>
    </w:p>
    <w:p w14:paraId="303C1EE2">
      <w:pPr>
        <w:autoSpaceDE w:val="0"/>
        <w:autoSpaceDN w:val="0"/>
        <w:adjustRightInd w:val="0"/>
        <w:spacing w:line="360" w:lineRule="auto"/>
        <w:ind w:firstLine="6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w:t>
      </w:r>
    </w:p>
    <w:p w14:paraId="3E624F99">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14:paraId="046FE15F">
      <w:pPr>
        <w:autoSpaceDE w:val="0"/>
        <w:autoSpaceDN w:val="0"/>
        <w:adjustRightInd w:val="0"/>
        <w:spacing w:line="360" w:lineRule="auto"/>
        <w:ind w:firstLine="6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因我单位除人员经费和日常公用经费外，无项目支出，故未开展项目绩效自评，无项目绩效评价结果。</w:t>
      </w:r>
    </w:p>
    <w:p w14:paraId="11598E2D">
      <w:pPr>
        <w:pStyle w:val="2"/>
        <w:numPr>
          <w:ilvl w:val="0"/>
          <w:numId w:val="0"/>
        </w:numPr>
        <w:ind w:leftChars="200" w:firstLine="300" w:firstLineChars="100"/>
        <w:rPr>
          <w:rFonts w:hint="eastAsia" w:ascii="仿宋" w:hAnsi="仿宋" w:eastAsia="仿宋" w:cs="仿宋"/>
          <w:sz w:val="30"/>
          <w:szCs w:val="30"/>
          <w:lang w:val="en-US" w:eastAsia="zh-CN"/>
        </w:rPr>
      </w:pPr>
    </w:p>
    <w:p w14:paraId="66B16460">
      <w:pPr>
        <w:pStyle w:val="2"/>
        <w:numPr>
          <w:ilvl w:val="0"/>
          <w:numId w:val="0"/>
        </w:numPr>
        <w:ind w:leftChars="200" w:firstLine="300" w:firstLineChars="100"/>
        <w:rPr>
          <w:rFonts w:hint="eastAsia" w:ascii="仿宋" w:hAnsi="仿宋" w:eastAsia="仿宋" w:cs="仿宋"/>
          <w:sz w:val="30"/>
          <w:szCs w:val="30"/>
          <w:lang w:val="en-US" w:eastAsia="zh-CN"/>
        </w:rPr>
      </w:pPr>
    </w:p>
    <w:p w14:paraId="4D289A9B">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4F7D63C6">
      <w:pPr>
        <w:pStyle w:val="5"/>
        <w:spacing w:line="600" w:lineRule="atLeast"/>
        <w:ind w:firstLine="600"/>
        <w:rPr>
          <w:rFonts w:hint="eastAsia" w:ascii="仿宋" w:hAnsi="仿宋" w:eastAsia="仿宋"/>
          <w:sz w:val="30"/>
          <w:szCs w:val="30"/>
        </w:rPr>
      </w:pPr>
    </w:p>
    <w:p w14:paraId="0FB191FC">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2DC2820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76C5D78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5F0641C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2020</w:t>
      </w:r>
      <w:r>
        <w:rPr>
          <w:rFonts w:hint="eastAsia" w:ascii="仿宋" w:hAnsi="仿宋" w:eastAsia="仿宋"/>
          <w:kern w:val="0"/>
          <w:sz w:val="30"/>
          <w:szCs w:val="30"/>
        </w:rPr>
        <w:t>年全部结转和结余的资金数，包括当年结转结余资金和历年滚存结转结余资金。</w:t>
      </w:r>
    </w:p>
    <w:p w14:paraId="5811A99A">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01C0CAE4">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42072933">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32F1B7C8">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187BAA36">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6ED90EE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民政管理事务（款）其他民政管理事务支出（项）：反应民政部门接待来访、法制建设、政策宣传方面的支出以及开展优抚安置、救灾减灾、社会救助、社会福利、社会事务、信息化建设等方面的支出。</w:t>
      </w:r>
    </w:p>
    <w:p w14:paraId="6B87DE9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22510CF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）社会保障和就业支出（类）行政事业单位养老支出（款）事业单位离退休（项）：反映事业单位开支的离退休经费。</w:t>
      </w:r>
    </w:p>
    <w:p w14:paraId="35ECFFA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015345C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）社会保障和就业支出（类）抚恤（款）其他优抚支出（项）：反映春节及八一走访慰问项目支出。</w:t>
      </w:r>
    </w:p>
    <w:p w14:paraId="2F97A911">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退役士兵安置（项）：对符合条件的退役士兵、转业士官的安置支出。</w:t>
      </w:r>
    </w:p>
    <w:p w14:paraId="4869732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7A1E2D1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151F331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）社会保障和就业支出（类）退役安置（款） 其他退役安置支出（项）：反映上述项目以外的用于退役安置方面的支出。</w:t>
      </w:r>
    </w:p>
    <w:p w14:paraId="7991C99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十四</w:t>
      </w:r>
      <w:r>
        <w:rPr>
          <w:rFonts w:hint="eastAsia" w:ascii="仿宋" w:hAnsi="仿宋" w:eastAsia="仿宋"/>
          <w:kern w:val="0"/>
          <w:sz w:val="30"/>
          <w:szCs w:val="30"/>
        </w:rPr>
        <w:t>）社会保障和就业支出（类）退役军人管理事务（款） 行政运行（项）：反映行政单位的基本支出。</w:t>
      </w:r>
    </w:p>
    <w:p w14:paraId="4A6F9CB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拥军优属（项）：反映拥军优属活动的支出。</w:t>
      </w:r>
    </w:p>
    <w:p w14:paraId="1ADC69E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6CB44A6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48E86DC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41A193F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九</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3B74A79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7B26765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）卫生健康支出（类）行政事业单位医疗（款）公务员医疗补助（项）：反映财政部门安排的公务员医疗补助经费。</w:t>
      </w:r>
    </w:p>
    <w:p w14:paraId="7ED342A1">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2AC88476">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二十三</w:t>
      </w:r>
      <w:r>
        <w:rPr>
          <w:rFonts w:hint="eastAsia" w:ascii="仿宋" w:hAnsi="仿宋" w:eastAsia="仿宋"/>
          <w:kern w:val="0"/>
          <w:sz w:val="30"/>
          <w:szCs w:val="30"/>
        </w:rPr>
        <w:t xml:space="preserve">）住房保障支出（类） 住房改革支出（款）住房公积金（项）：住房公积金的支出。 </w:t>
      </w:r>
    </w:p>
    <w:p w14:paraId="17A93322">
      <w:pPr>
        <w:pStyle w:val="2"/>
        <w:rPr>
          <w:rFonts w:hint="eastAsia" w:ascii="仿宋" w:hAnsi="仿宋" w:eastAsia="仿宋"/>
          <w:kern w:val="0"/>
          <w:sz w:val="30"/>
          <w:szCs w:val="30"/>
        </w:rPr>
      </w:pPr>
    </w:p>
    <w:p w14:paraId="733EA1D8">
      <w:pPr>
        <w:pStyle w:val="2"/>
        <w:rPr>
          <w:rFonts w:hint="eastAsia" w:ascii="仿宋" w:hAnsi="仿宋" w:eastAsia="仿宋"/>
          <w:kern w:val="0"/>
          <w:sz w:val="30"/>
          <w:szCs w:val="30"/>
        </w:rPr>
      </w:pPr>
    </w:p>
    <w:p w14:paraId="293E1777">
      <w:pPr>
        <w:pStyle w:val="2"/>
        <w:rPr>
          <w:rFonts w:hint="eastAsia" w:ascii="仿宋" w:hAnsi="仿宋" w:eastAsia="仿宋"/>
          <w:kern w:val="0"/>
          <w:sz w:val="30"/>
          <w:szCs w:val="30"/>
        </w:rPr>
      </w:pPr>
    </w:p>
    <w:p w14:paraId="66CA51CC">
      <w:pPr>
        <w:pStyle w:val="2"/>
        <w:rPr>
          <w:rFonts w:hint="eastAsia" w:ascii="仿宋" w:hAnsi="仿宋" w:eastAsia="仿宋"/>
          <w:kern w:val="0"/>
          <w:sz w:val="30"/>
          <w:szCs w:val="30"/>
        </w:rPr>
      </w:pPr>
    </w:p>
    <w:p w14:paraId="76A1273F">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267351F3"/>
    <w:multiLevelType w:val="singleLevel"/>
    <w:tmpl w:val="267351F3"/>
    <w:lvl w:ilvl="0" w:tentative="0">
      <w:start w:val="1"/>
      <w:numFmt w:val="chineseCounting"/>
      <w:suff w:val="nothing"/>
      <w:lvlText w:val="（%1）"/>
      <w:lvlJc w:val="left"/>
      <w:rPr>
        <w:rFonts w:hint="eastAsia"/>
      </w:rPr>
    </w:lvl>
  </w:abstractNum>
  <w:abstractNum w:abstractNumId="2">
    <w:nsid w:val="508790A7"/>
    <w:multiLevelType w:val="singleLevel"/>
    <w:tmpl w:val="508790A7"/>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1397C80"/>
    <w:rsid w:val="0E7B0089"/>
    <w:rsid w:val="0F1B0B98"/>
    <w:rsid w:val="0FDE12D6"/>
    <w:rsid w:val="1A073F58"/>
    <w:rsid w:val="1B0A5729"/>
    <w:rsid w:val="20DA626A"/>
    <w:rsid w:val="20F628BA"/>
    <w:rsid w:val="25ED4B05"/>
    <w:rsid w:val="262C5BFB"/>
    <w:rsid w:val="352A495A"/>
    <w:rsid w:val="36A66BE1"/>
    <w:rsid w:val="3793334B"/>
    <w:rsid w:val="37FC07D4"/>
    <w:rsid w:val="380A3C85"/>
    <w:rsid w:val="3C160F53"/>
    <w:rsid w:val="40F811CF"/>
    <w:rsid w:val="42731B53"/>
    <w:rsid w:val="42E90224"/>
    <w:rsid w:val="4B633824"/>
    <w:rsid w:val="4D843680"/>
    <w:rsid w:val="511C3F63"/>
    <w:rsid w:val="5D2651CC"/>
    <w:rsid w:val="5D9271DC"/>
    <w:rsid w:val="5DB8630B"/>
    <w:rsid w:val="5F1E5097"/>
    <w:rsid w:val="62115B72"/>
    <w:rsid w:val="712F640A"/>
    <w:rsid w:val="7BD16B5E"/>
    <w:rsid w:val="7C946478"/>
    <w:rsid w:val="7EA24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4269</Words>
  <Characters>4541</Characters>
  <Lines>0</Lines>
  <Paragraphs>0</Paragraphs>
  <TotalTime>2</TotalTime>
  <ScaleCrop>false</ScaleCrop>
  <LinksUpToDate>false</LinksUpToDate>
  <CharactersWithSpaces>4643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FF7B4587BC89455A91511FFADA3EACFB</vt:lpwstr>
  </property>
  <property fmtid="{D5CDD505-2E9C-101B-9397-08002B2CF9AE}" pid="4" name="KSOTemplateDocerSaveRecord">
    <vt:lpwstr>eyJoZGlkIjoiZDE0NGEzNGIzZjUwOGU4ZDE5MWE2OTkyZTc1ZTM0ZWUiLCJ1c2VySWQiOiI1MDI5MTkxMDkifQ==</vt:lpwstr>
  </property>
</Properties>
</file>