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D395E">
      <w:pPr>
        <w:keepNext w:val="0"/>
        <w:keepLines w:val="0"/>
        <w:pageBreakBefore w:val="0"/>
        <w:kinsoku/>
        <w:wordWrap/>
        <w:overflowPunct/>
        <w:topLinePunct w:val="0"/>
        <w:autoSpaceDE/>
        <w:autoSpaceDN/>
        <w:bidi w:val="0"/>
        <w:adjustRightInd/>
        <w:snapToGrid/>
        <w:spacing w:line="600" w:lineRule="exact"/>
        <w:textAlignment w:val="auto"/>
        <w:rPr>
          <w:rFonts w:hint="eastAsia" w:ascii="楷体" w:hAnsi="楷体" w:eastAsia="楷体" w:cs="楷体"/>
          <w:color w:val="auto"/>
          <w:sz w:val="32"/>
          <w:szCs w:val="32"/>
          <w:lang w:val="en-US" w:eastAsia="zh-CN"/>
        </w:rPr>
      </w:pPr>
    </w:p>
    <w:p w14:paraId="720530B4">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color w:val="auto"/>
          <w:sz w:val="44"/>
          <w:szCs w:val="44"/>
          <w:lang w:val="en-US" w:eastAsia="zh-CN"/>
        </w:rPr>
      </w:pPr>
      <w:r>
        <w:rPr>
          <w:rFonts w:hint="eastAsia" w:ascii="方正小标宋简体" w:hAnsi="方正小标宋简体" w:eastAsia="方正小标宋简体" w:cs="方正小标宋简体"/>
          <w:b w:val="0"/>
          <w:bCs w:val="0"/>
          <w:color w:val="auto"/>
          <w:sz w:val="44"/>
          <w:szCs w:val="44"/>
          <w:lang w:val="en-US" w:eastAsia="zh-CN"/>
        </w:rPr>
        <w:t>景德镇市退役军人事务局</w:t>
      </w:r>
    </w:p>
    <w:p w14:paraId="63E150F3">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color w:val="auto"/>
          <w:sz w:val="44"/>
          <w:szCs w:val="44"/>
          <w:lang w:val="en-US" w:eastAsia="zh-CN"/>
        </w:rPr>
      </w:pPr>
      <w:r>
        <w:rPr>
          <w:rFonts w:hint="eastAsia" w:ascii="方正小标宋简体" w:hAnsi="方正小标宋简体" w:eastAsia="方正小标宋简体" w:cs="方正小标宋简体"/>
          <w:b w:val="0"/>
          <w:bCs w:val="0"/>
          <w:color w:val="auto"/>
          <w:sz w:val="44"/>
          <w:szCs w:val="44"/>
        </w:rPr>
        <w:t>202</w:t>
      </w:r>
      <w:r>
        <w:rPr>
          <w:rFonts w:hint="eastAsia" w:ascii="方正小标宋简体" w:hAnsi="方正小标宋简体" w:eastAsia="方正小标宋简体" w:cs="方正小标宋简体"/>
          <w:b w:val="0"/>
          <w:bCs w:val="0"/>
          <w:color w:val="auto"/>
          <w:sz w:val="44"/>
          <w:szCs w:val="44"/>
          <w:lang w:val="en-US" w:eastAsia="zh-CN"/>
        </w:rPr>
        <w:t>2</w:t>
      </w:r>
      <w:r>
        <w:rPr>
          <w:rFonts w:hint="eastAsia" w:ascii="方正小标宋简体" w:hAnsi="方正小标宋简体" w:eastAsia="方正小标宋简体" w:cs="方正小标宋简体"/>
          <w:b w:val="0"/>
          <w:bCs w:val="0"/>
          <w:color w:val="auto"/>
          <w:sz w:val="44"/>
          <w:szCs w:val="44"/>
        </w:rPr>
        <w:t>年度决算</w:t>
      </w:r>
    </w:p>
    <w:p w14:paraId="4808A085">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eastAsia="黑体"/>
          <w:color w:val="auto"/>
          <w:sz w:val="32"/>
          <w:szCs w:val="32"/>
          <w:lang w:eastAsia="zh-CN"/>
        </w:rPr>
      </w:pPr>
    </w:p>
    <w:p w14:paraId="3BC92708">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目    录</w:t>
      </w:r>
    </w:p>
    <w:p w14:paraId="633037CA">
      <w:pPr>
        <w:keepNext w:val="0"/>
        <w:keepLines w:val="0"/>
        <w:pageBreakBefore w:val="0"/>
        <w:widowControl/>
        <w:kinsoku/>
        <w:wordWrap/>
        <w:overflowPunct/>
        <w:topLinePunct w:val="0"/>
        <w:autoSpaceDE/>
        <w:autoSpaceDN/>
        <w:bidi w:val="0"/>
        <w:adjustRightInd/>
        <w:snapToGrid/>
        <w:spacing w:line="600" w:lineRule="exact"/>
        <w:ind w:firstLine="640"/>
        <w:jc w:val="left"/>
        <w:textAlignment w:val="auto"/>
        <w:rPr>
          <w:rFonts w:hint="eastAsia" w:ascii="仿宋_GB2312" w:eastAsia="仿宋_GB2312"/>
          <w:color w:val="auto"/>
          <w:sz w:val="32"/>
          <w:szCs w:val="32"/>
        </w:rPr>
      </w:pPr>
    </w:p>
    <w:p w14:paraId="058D6E9E">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 xml:space="preserve">第一部分 </w:t>
      </w:r>
      <w:r>
        <w:rPr>
          <w:rFonts w:hint="eastAsia" w:ascii="黑体" w:hAnsi="黑体" w:eastAsia="黑体" w:cs="黑体"/>
          <w:b w:val="0"/>
          <w:bCs/>
          <w:color w:val="auto"/>
          <w:sz w:val="32"/>
          <w:szCs w:val="32"/>
          <w:lang w:val="en-US" w:eastAsia="zh-CN"/>
        </w:rPr>
        <w:t>景德镇市退役军人事务局</w:t>
      </w:r>
      <w:r>
        <w:rPr>
          <w:rFonts w:hint="eastAsia" w:ascii="黑体" w:hAnsi="黑体" w:eastAsia="黑体" w:cs="黑体"/>
          <w:b w:val="0"/>
          <w:bCs/>
          <w:color w:val="auto"/>
          <w:sz w:val="32"/>
          <w:szCs w:val="32"/>
        </w:rPr>
        <w:t>概况</w:t>
      </w:r>
    </w:p>
    <w:p w14:paraId="0878A1B3">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一、</w:t>
      </w:r>
      <w:r>
        <w:rPr>
          <w:rFonts w:hint="eastAsia" w:ascii="仿宋_GB2312" w:hAnsi="仿宋_GB2312" w:eastAsia="仿宋_GB2312"/>
          <w:color w:val="auto"/>
          <w:sz w:val="32"/>
          <w:szCs w:val="32"/>
          <w:lang w:val="en-US" w:eastAsia="zh-CN"/>
        </w:rPr>
        <w:t>单位</w:t>
      </w:r>
      <w:r>
        <w:rPr>
          <w:rFonts w:hint="eastAsia" w:ascii="仿宋_GB2312" w:hAnsi="仿宋_GB2312" w:eastAsia="仿宋_GB2312"/>
          <w:color w:val="auto"/>
          <w:sz w:val="32"/>
          <w:szCs w:val="32"/>
        </w:rPr>
        <w:t>主要职责</w:t>
      </w:r>
    </w:p>
    <w:p w14:paraId="58A2029D">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s="宋体"/>
          <w:color w:val="auto"/>
          <w:kern w:val="0"/>
          <w:sz w:val="32"/>
          <w:szCs w:val="32"/>
        </w:rPr>
      </w:pPr>
      <w:r>
        <w:rPr>
          <w:rFonts w:hint="eastAsia" w:ascii="仿宋_GB2312" w:hAnsi="仿宋_GB2312" w:eastAsia="仿宋_GB2312" w:cs="宋体"/>
          <w:color w:val="auto"/>
          <w:kern w:val="0"/>
          <w:sz w:val="32"/>
          <w:szCs w:val="32"/>
        </w:rPr>
        <w:t>二、</w:t>
      </w:r>
      <w:r>
        <w:rPr>
          <w:rFonts w:hint="eastAsia" w:ascii="仿宋_GB2312" w:hAnsi="仿宋_GB2312" w:eastAsia="仿宋_GB2312" w:cs="宋体"/>
          <w:color w:val="auto"/>
          <w:kern w:val="0"/>
          <w:sz w:val="32"/>
          <w:szCs w:val="32"/>
          <w:lang w:val="en-US" w:eastAsia="zh-CN"/>
        </w:rPr>
        <w:t>单位</w:t>
      </w:r>
      <w:r>
        <w:rPr>
          <w:rFonts w:hint="eastAsia" w:ascii="仿宋_GB2312" w:hAnsi="仿宋_GB2312" w:eastAsia="仿宋_GB2312" w:cs="宋体"/>
          <w:color w:val="auto"/>
          <w:kern w:val="0"/>
          <w:sz w:val="32"/>
          <w:szCs w:val="32"/>
        </w:rPr>
        <w:t>基本情况</w:t>
      </w:r>
    </w:p>
    <w:p w14:paraId="446F851F">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olor w:val="auto"/>
          <w:sz w:val="32"/>
          <w:szCs w:val="32"/>
        </w:rPr>
      </w:pPr>
      <w:r>
        <w:rPr>
          <w:rFonts w:hint="eastAsia" w:ascii="黑体" w:hAnsi="黑体" w:eastAsia="黑体"/>
          <w:color w:val="auto"/>
          <w:sz w:val="32"/>
          <w:szCs w:val="32"/>
        </w:rPr>
        <w:t>第二部分  202</w:t>
      </w:r>
      <w:r>
        <w:rPr>
          <w:rFonts w:hint="eastAsia" w:ascii="黑体" w:hAnsi="黑体" w:eastAsia="黑体"/>
          <w:color w:val="auto"/>
          <w:sz w:val="32"/>
          <w:szCs w:val="32"/>
          <w:lang w:val="en-US" w:eastAsia="zh-CN"/>
        </w:rPr>
        <w:t>2</w:t>
      </w:r>
      <w:r>
        <w:rPr>
          <w:rFonts w:hint="eastAsia" w:ascii="黑体" w:hAnsi="黑体" w:eastAsia="黑体"/>
          <w:color w:val="auto"/>
          <w:sz w:val="32"/>
          <w:szCs w:val="32"/>
        </w:rPr>
        <w:t>年度</w:t>
      </w:r>
      <w:r>
        <w:rPr>
          <w:rFonts w:hint="eastAsia" w:ascii="黑体" w:hAnsi="黑体" w:eastAsia="黑体"/>
          <w:color w:val="auto"/>
          <w:sz w:val="32"/>
          <w:szCs w:val="32"/>
          <w:lang w:val="en-US" w:eastAsia="zh-CN"/>
        </w:rPr>
        <w:t>单位</w:t>
      </w:r>
      <w:r>
        <w:rPr>
          <w:rFonts w:hint="eastAsia" w:ascii="黑体" w:hAnsi="黑体" w:eastAsia="黑体"/>
          <w:color w:val="auto"/>
          <w:sz w:val="32"/>
          <w:szCs w:val="32"/>
        </w:rPr>
        <w:t>决算表</w:t>
      </w:r>
    </w:p>
    <w:p w14:paraId="673E92F1">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一、收入支出决算总表</w:t>
      </w:r>
    </w:p>
    <w:p w14:paraId="5210B457">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二、收入决算表</w:t>
      </w:r>
    </w:p>
    <w:p w14:paraId="3BF7EE11">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s="宋体"/>
          <w:color w:val="auto"/>
          <w:kern w:val="0"/>
          <w:sz w:val="32"/>
          <w:szCs w:val="32"/>
        </w:rPr>
      </w:pPr>
      <w:r>
        <w:rPr>
          <w:rFonts w:hint="eastAsia" w:ascii="仿宋_GB2312" w:hAnsi="仿宋_GB2312" w:eastAsia="仿宋_GB2312" w:cs="宋体"/>
          <w:color w:val="auto"/>
          <w:kern w:val="0"/>
          <w:sz w:val="32"/>
          <w:szCs w:val="32"/>
        </w:rPr>
        <w:t>三、支出决算表</w:t>
      </w:r>
    </w:p>
    <w:p w14:paraId="2F2FB6D5">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s="宋体"/>
          <w:color w:val="auto"/>
          <w:kern w:val="0"/>
          <w:sz w:val="32"/>
          <w:szCs w:val="32"/>
        </w:rPr>
      </w:pPr>
      <w:r>
        <w:rPr>
          <w:rFonts w:hint="eastAsia" w:ascii="仿宋_GB2312" w:hAnsi="仿宋_GB2312" w:eastAsia="仿宋_GB2312" w:cs="宋体"/>
          <w:color w:val="auto"/>
          <w:kern w:val="0"/>
          <w:sz w:val="32"/>
          <w:szCs w:val="32"/>
        </w:rPr>
        <w:t>四、财政拨款收入支出决算总表</w:t>
      </w:r>
    </w:p>
    <w:p w14:paraId="6262FA12">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s="宋体"/>
          <w:color w:val="auto"/>
          <w:kern w:val="0"/>
          <w:sz w:val="32"/>
          <w:szCs w:val="32"/>
        </w:rPr>
      </w:pPr>
      <w:r>
        <w:rPr>
          <w:rFonts w:hint="eastAsia" w:ascii="仿宋_GB2312" w:hAnsi="仿宋_GB2312" w:eastAsia="仿宋_GB2312" w:cs="宋体"/>
          <w:color w:val="auto"/>
          <w:kern w:val="0"/>
          <w:sz w:val="32"/>
          <w:szCs w:val="32"/>
        </w:rPr>
        <w:t>五、一般公共预算财政拨款支出决算表</w:t>
      </w:r>
    </w:p>
    <w:p w14:paraId="08898884">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s="宋体"/>
          <w:color w:val="auto"/>
          <w:kern w:val="0"/>
          <w:sz w:val="32"/>
          <w:szCs w:val="32"/>
        </w:rPr>
      </w:pPr>
      <w:r>
        <w:rPr>
          <w:rFonts w:hint="eastAsia" w:ascii="仿宋_GB2312" w:hAnsi="仿宋_GB2312" w:eastAsia="仿宋_GB2312" w:cs="宋体"/>
          <w:color w:val="auto"/>
          <w:kern w:val="0"/>
          <w:sz w:val="32"/>
          <w:szCs w:val="32"/>
        </w:rPr>
        <w:t>六、一般公共预算财政拨款基本支出决算表</w:t>
      </w:r>
    </w:p>
    <w:p w14:paraId="705133A1">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s="宋体"/>
          <w:color w:val="auto"/>
          <w:kern w:val="0"/>
          <w:sz w:val="32"/>
          <w:szCs w:val="32"/>
        </w:rPr>
      </w:pPr>
      <w:r>
        <w:rPr>
          <w:rFonts w:hint="eastAsia" w:ascii="仿宋_GB2312" w:hAnsi="仿宋_GB2312" w:eastAsia="仿宋_GB2312" w:cs="宋体"/>
          <w:color w:val="auto"/>
          <w:kern w:val="0"/>
          <w:sz w:val="32"/>
          <w:szCs w:val="32"/>
          <w:lang w:val="en-US" w:eastAsia="zh-CN"/>
        </w:rPr>
        <w:t>七、</w:t>
      </w:r>
      <w:r>
        <w:rPr>
          <w:rFonts w:hint="eastAsia" w:ascii="仿宋_GB2312" w:hAnsi="仿宋_GB2312" w:eastAsia="仿宋_GB2312" w:cs="宋体"/>
          <w:color w:val="auto"/>
          <w:kern w:val="0"/>
          <w:sz w:val="32"/>
          <w:szCs w:val="32"/>
        </w:rPr>
        <w:t>政府性基金预算财政拨款收入支出决算表</w:t>
      </w:r>
    </w:p>
    <w:p w14:paraId="5A30ABA8">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s="宋体"/>
          <w:color w:val="auto"/>
          <w:kern w:val="0"/>
          <w:sz w:val="32"/>
          <w:szCs w:val="32"/>
        </w:rPr>
      </w:pPr>
      <w:r>
        <w:rPr>
          <w:rFonts w:hint="eastAsia" w:ascii="仿宋_GB2312" w:hAnsi="仿宋_GB2312" w:eastAsia="仿宋_GB2312" w:cs="宋体"/>
          <w:color w:val="auto"/>
          <w:kern w:val="0"/>
          <w:sz w:val="32"/>
          <w:szCs w:val="32"/>
          <w:lang w:val="en-US" w:eastAsia="zh-CN"/>
        </w:rPr>
        <w:t>八、国有资本经营预算财政拨款支出决算表</w:t>
      </w:r>
    </w:p>
    <w:p w14:paraId="2F6DB147">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s="宋体"/>
          <w:color w:val="auto"/>
          <w:kern w:val="0"/>
          <w:sz w:val="32"/>
          <w:szCs w:val="32"/>
        </w:rPr>
      </w:pPr>
      <w:r>
        <w:rPr>
          <w:rFonts w:hint="eastAsia" w:ascii="仿宋_GB2312" w:hAnsi="仿宋_GB2312" w:eastAsia="仿宋_GB2312" w:cs="宋体"/>
          <w:color w:val="auto"/>
          <w:kern w:val="0"/>
          <w:sz w:val="32"/>
          <w:szCs w:val="32"/>
          <w:lang w:val="en-US" w:eastAsia="zh-CN"/>
        </w:rPr>
        <w:t>九、</w:t>
      </w:r>
      <w:r>
        <w:rPr>
          <w:rFonts w:hint="eastAsia" w:ascii="仿宋_GB2312" w:hAnsi="仿宋_GB2312" w:eastAsia="仿宋_GB2312" w:cs="宋体"/>
          <w:color w:val="auto"/>
          <w:kern w:val="0"/>
          <w:sz w:val="32"/>
          <w:szCs w:val="32"/>
        </w:rPr>
        <w:t>财政拨款“三公”经费支出决算表</w:t>
      </w:r>
    </w:p>
    <w:p w14:paraId="0F119887">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s="宋体"/>
          <w:color w:val="auto"/>
          <w:kern w:val="0"/>
          <w:sz w:val="32"/>
          <w:szCs w:val="32"/>
        </w:rPr>
      </w:pPr>
      <w:r>
        <w:rPr>
          <w:rFonts w:hint="eastAsia" w:ascii="仿宋_GB2312" w:hAnsi="仿宋_GB2312" w:eastAsia="仿宋_GB2312" w:cs="宋体"/>
          <w:color w:val="auto"/>
          <w:kern w:val="0"/>
          <w:sz w:val="32"/>
          <w:szCs w:val="32"/>
          <w:lang w:val="en-US" w:eastAsia="zh-CN"/>
        </w:rPr>
        <w:t>十</w:t>
      </w:r>
      <w:r>
        <w:rPr>
          <w:rFonts w:hint="eastAsia" w:ascii="仿宋_GB2312" w:hAnsi="仿宋_GB2312" w:eastAsia="仿宋_GB2312" w:cs="宋体"/>
          <w:color w:val="auto"/>
          <w:kern w:val="0"/>
          <w:sz w:val="32"/>
          <w:szCs w:val="32"/>
        </w:rPr>
        <w:t>、国有资产占用情况表</w:t>
      </w:r>
    </w:p>
    <w:p w14:paraId="17AC5A72">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olor w:val="auto"/>
          <w:sz w:val="32"/>
          <w:szCs w:val="32"/>
        </w:rPr>
      </w:pPr>
    </w:p>
    <w:p w14:paraId="586582BA">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olor w:val="auto"/>
          <w:sz w:val="32"/>
          <w:szCs w:val="32"/>
        </w:rPr>
      </w:pPr>
    </w:p>
    <w:p w14:paraId="784DA8D5">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olor w:val="auto"/>
          <w:sz w:val="32"/>
          <w:szCs w:val="32"/>
        </w:rPr>
      </w:pPr>
    </w:p>
    <w:p w14:paraId="2712AFE8">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olor w:val="auto"/>
          <w:sz w:val="32"/>
          <w:szCs w:val="32"/>
        </w:rPr>
      </w:pPr>
      <w:r>
        <w:rPr>
          <w:rFonts w:hint="eastAsia" w:ascii="黑体" w:hAnsi="黑体" w:eastAsia="黑体"/>
          <w:color w:val="auto"/>
          <w:sz w:val="32"/>
          <w:szCs w:val="32"/>
        </w:rPr>
        <w:t>第三部分  202</w:t>
      </w:r>
      <w:r>
        <w:rPr>
          <w:rFonts w:hint="eastAsia" w:ascii="黑体" w:hAnsi="黑体" w:eastAsia="黑体"/>
          <w:color w:val="auto"/>
          <w:sz w:val="32"/>
          <w:szCs w:val="32"/>
          <w:lang w:val="en-US" w:eastAsia="zh-CN"/>
        </w:rPr>
        <w:t>2</w:t>
      </w:r>
      <w:r>
        <w:rPr>
          <w:rFonts w:hint="eastAsia" w:ascii="黑体" w:hAnsi="黑体" w:eastAsia="黑体"/>
          <w:color w:val="auto"/>
          <w:sz w:val="32"/>
          <w:szCs w:val="32"/>
        </w:rPr>
        <w:t>年度</w:t>
      </w:r>
      <w:r>
        <w:rPr>
          <w:rFonts w:hint="eastAsia" w:ascii="黑体" w:hAnsi="黑体" w:eastAsia="黑体"/>
          <w:color w:val="auto"/>
          <w:sz w:val="32"/>
          <w:szCs w:val="32"/>
          <w:lang w:val="en-US" w:eastAsia="zh-CN"/>
        </w:rPr>
        <w:t>单位</w:t>
      </w:r>
      <w:r>
        <w:rPr>
          <w:rFonts w:hint="eastAsia" w:ascii="黑体" w:hAnsi="黑体" w:eastAsia="黑体"/>
          <w:color w:val="auto"/>
          <w:sz w:val="32"/>
          <w:szCs w:val="32"/>
        </w:rPr>
        <w:t>决算情况说明</w:t>
      </w:r>
    </w:p>
    <w:p w14:paraId="76E75CC6">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一、收入决算情况说明</w:t>
      </w:r>
    </w:p>
    <w:p w14:paraId="6A0B254F">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二、支出决算情况说明</w:t>
      </w:r>
    </w:p>
    <w:p w14:paraId="17FA75CA">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三、财政拨款支出决算情况说明</w:t>
      </w:r>
    </w:p>
    <w:p w14:paraId="21560AAC">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四、一般公共预算财政拨款基本支出决算情况说明</w:t>
      </w:r>
    </w:p>
    <w:p w14:paraId="48D5F38B">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五、财政拨款“三公”经费支出决算情况说明</w:t>
      </w:r>
    </w:p>
    <w:p w14:paraId="161341E1">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六、机关运行经费支出情况说明</w:t>
      </w:r>
    </w:p>
    <w:p w14:paraId="0D09A05A">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七、政府采购支出情况说明</w:t>
      </w:r>
    </w:p>
    <w:p w14:paraId="7F703017">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八、国有资产占用情况说明</w:t>
      </w:r>
    </w:p>
    <w:p w14:paraId="12FA3602">
      <w:pPr>
        <w:keepNext w:val="0"/>
        <w:keepLines w:val="0"/>
        <w:pageBreakBefore w:val="0"/>
        <w:widowControl/>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九、预算绩效情况说明</w:t>
      </w:r>
    </w:p>
    <w:p w14:paraId="5A075055">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color w:val="auto"/>
          <w:sz w:val="32"/>
          <w:szCs w:val="32"/>
        </w:rPr>
      </w:pPr>
      <w:r>
        <w:rPr>
          <w:rFonts w:hint="eastAsia" w:ascii="黑体" w:hAnsi="黑体" w:eastAsia="黑体"/>
          <w:color w:val="auto"/>
          <w:sz w:val="32"/>
          <w:szCs w:val="32"/>
        </w:rPr>
        <w:t>第四部分  名词解释</w:t>
      </w:r>
    </w:p>
    <w:p w14:paraId="6C3BAB93">
      <w:pPr>
        <w:widowControl/>
        <w:spacing w:line="580" w:lineRule="exact"/>
        <w:jc w:val="center"/>
        <w:rPr>
          <w:rFonts w:hint="eastAsia" w:ascii="宋体" w:hAnsi="宋体"/>
          <w:b/>
          <w:sz w:val="32"/>
          <w:szCs w:val="30"/>
        </w:rPr>
      </w:pPr>
    </w:p>
    <w:p w14:paraId="78B2BD0A">
      <w:pPr>
        <w:widowControl/>
        <w:spacing w:line="580" w:lineRule="exact"/>
        <w:jc w:val="center"/>
        <w:rPr>
          <w:rFonts w:hint="eastAsia" w:ascii="宋体" w:hAnsi="宋体"/>
          <w:b/>
          <w:sz w:val="32"/>
          <w:szCs w:val="30"/>
        </w:rPr>
      </w:pPr>
    </w:p>
    <w:p w14:paraId="2639461E">
      <w:pPr>
        <w:widowControl/>
        <w:spacing w:line="580" w:lineRule="exact"/>
        <w:jc w:val="center"/>
        <w:rPr>
          <w:rFonts w:hint="eastAsia" w:ascii="宋体" w:hAnsi="宋体"/>
          <w:b/>
          <w:sz w:val="32"/>
          <w:szCs w:val="30"/>
        </w:rPr>
      </w:pPr>
    </w:p>
    <w:p w14:paraId="36282F15">
      <w:pPr>
        <w:widowControl/>
        <w:spacing w:line="580" w:lineRule="exact"/>
        <w:jc w:val="center"/>
        <w:rPr>
          <w:rFonts w:hint="eastAsia" w:ascii="宋体" w:hAnsi="宋体"/>
          <w:b/>
          <w:sz w:val="32"/>
          <w:szCs w:val="30"/>
        </w:rPr>
      </w:pPr>
    </w:p>
    <w:p w14:paraId="0D172587">
      <w:pPr>
        <w:widowControl/>
        <w:spacing w:line="580" w:lineRule="exact"/>
        <w:jc w:val="center"/>
        <w:rPr>
          <w:rFonts w:hint="eastAsia" w:ascii="宋体" w:hAnsi="宋体"/>
          <w:b/>
          <w:sz w:val="32"/>
          <w:szCs w:val="30"/>
        </w:rPr>
      </w:pPr>
    </w:p>
    <w:p w14:paraId="729EF755">
      <w:pPr>
        <w:widowControl/>
        <w:spacing w:line="580" w:lineRule="exact"/>
        <w:jc w:val="center"/>
        <w:rPr>
          <w:rFonts w:hint="eastAsia" w:ascii="宋体" w:hAnsi="宋体"/>
          <w:b/>
          <w:sz w:val="32"/>
          <w:szCs w:val="30"/>
        </w:rPr>
      </w:pPr>
    </w:p>
    <w:p w14:paraId="04D8D779">
      <w:pPr>
        <w:widowControl/>
        <w:spacing w:line="580" w:lineRule="exact"/>
        <w:jc w:val="center"/>
        <w:rPr>
          <w:rFonts w:hint="eastAsia" w:ascii="宋体" w:hAnsi="宋体"/>
          <w:b/>
          <w:sz w:val="32"/>
          <w:szCs w:val="30"/>
        </w:rPr>
      </w:pPr>
    </w:p>
    <w:p w14:paraId="2436619B">
      <w:pPr>
        <w:widowControl/>
        <w:spacing w:line="580" w:lineRule="exact"/>
        <w:jc w:val="center"/>
        <w:rPr>
          <w:rFonts w:hint="eastAsia" w:ascii="宋体" w:hAnsi="宋体"/>
          <w:b/>
          <w:sz w:val="32"/>
          <w:szCs w:val="30"/>
        </w:rPr>
      </w:pPr>
    </w:p>
    <w:p w14:paraId="758E637C">
      <w:pPr>
        <w:widowControl/>
        <w:spacing w:line="580" w:lineRule="exact"/>
        <w:jc w:val="center"/>
        <w:rPr>
          <w:rFonts w:hint="eastAsia" w:ascii="宋体" w:hAnsi="宋体"/>
          <w:b/>
          <w:sz w:val="32"/>
          <w:szCs w:val="30"/>
        </w:rPr>
      </w:pPr>
    </w:p>
    <w:p w14:paraId="50D1AFA1">
      <w:pPr>
        <w:widowControl/>
        <w:spacing w:line="580" w:lineRule="exact"/>
        <w:jc w:val="center"/>
        <w:rPr>
          <w:rFonts w:hint="eastAsia" w:ascii="宋体" w:hAnsi="宋体"/>
          <w:b/>
          <w:sz w:val="32"/>
          <w:szCs w:val="30"/>
        </w:rPr>
      </w:pPr>
    </w:p>
    <w:p w14:paraId="571FB529">
      <w:pPr>
        <w:widowControl/>
        <w:spacing w:line="580" w:lineRule="exact"/>
        <w:jc w:val="center"/>
        <w:rPr>
          <w:rFonts w:hint="eastAsia" w:ascii="宋体" w:hAnsi="宋体"/>
          <w:b/>
          <w:sz w:val="32"/>
          <w:szCs w:val="30"/>
        </w:rPr>
      </w:pPr>
    </w:p>
    <w:p w14:paraId="651FE346">
      <w:pPr>
        <w:widowControl/>
        <w:spacing w:line="580" w:lineRule="exact"/>
        <w:jc w:val="center"/>
        <w:rPr>
          <w:rFonts w:hint="eastAsia" w:ascii="宋体" w:hAnsi="宋体"/>
          <w:b/>
          <w:sz w:val="32"/>
          <w:szCs w:val="30"/>
        </w:rPr>
      </w:pPr>
    </w:p>
    <w:p w14:paraId="1C682FC7">
      <w:pPr>
        <w:widowControl/>
        <w:spacing w:line="580" w:lineRule="exact"/>
        <w:jc w:val="both"/>
        <w:rPr>
          <w:rFonts w:hint="eastAsia" w:ascii="宋体" w:hAnsi="宋体"/>
          <w:b/>
          <w:sz w:val="32"/>
          <w:szCs w:val="30"/>
        </w:rPr>
      </w:pPr>
    </w:p>
    <w:p w14:paraId="70040FD2">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lang w:eastAsia="zh-CN"/>
        </w:rPr>
      </w:pPr>
      <w:r>
        <w:rPr>
          <w:rFonts w:hint="eastAsia" w:ascii="方正小标宋简体" w:hAnsi="方正小标宋简体" w:eastAsia="方正小标宋简体" w:cs="方正小标宋简体"/>
          <w:b w:val="0"/>
          <w:bCs/>
          <w:color w:val="auto"/>
          <w:sz w:val="44"/>
          <w:szCs w:val="44"/>
        </w:rPr>
        <w:t xml:space="preserve">第一部分  </w:t>
      </w:r>
      <w:r>
        <w:rPr>
          <w:rFonts w:hint="eastAsia" w:ascii="方正小标宋简体" w:hAnsi="方正小标宋简体" w:eastAsia="方正小标宋简体" w:cs="方正小标宋简体"/>
          <w:b w:val="0"/>
          <w:bCs/>
          <w:color w:val="auto"/>
          <w:sz w:val="44"/>
          <w:szCs w:val="44"/>
          <w:lang w:val="en-US" w:eastAsia="zh-CN"/>
        </w:rPr>
        <w:t>景德镇市退役军人事务局概况</w:t>
      </w:r>
    </w:p>
    <w:p w14:paraId="52F2C09E">
      <w:pPr>
        <w:ind w:firstLine="630"/>
        <w:jc w:val="center"/>
        <w:rPr>
          <w:rFonts w:hint="eastAsia"/>
          <w:sz w:val="32"/>
          <w:szCs w:val="32"/>
        </w:rPr>
      </w:pPr>
    </w:p>
    <w:p w14:paraId="15404A86">
      <w:pPr>
        <w:ind w:firstLine="630"/>
        <w:jc w:val="left"/>
        <w:rPr>
          <w:rFonts w:hint="eastAsia" w:ascii="黑体" w:hAnsi="黑体" w:eastAsia="黑体"/>
          <w:sz w:val="32"/>
          <w:szCs w:val="32"/>
          <w:lang w:eastAsia="zh-CN"/>
        </w:rPr>
      </w:pPr>
      <w:r>
        <w:rPr>
          <w:rFonts w:hint="eastAsia" w:ascii="黑体" w:hAnsi="黑体" w:eastAsia="黑体"/>
          <w:sz w:val="32"/>
          <w:szCs w:val="32"/>
        </w:rPr>
        <w:t>一、</w:t>
      </w:r>
      <w:r>
        <w:rPr>
          <w:rFonts w:hint="eastAsia" w:ascii="黑体" w:hAnsi="黑体" w:eastAsia="黑体"/>
          <w:sz w:val="32"/>
          <w:szCs w:val="32"/>
          <w:lang w:val="en-US" w:eastAsia="zh-CN"/>
        </w:rPr>
        <w:t>单位</w:t>
      </w:r>
      <w:r>
        <w:rPr>
          <w:rFonts w:hint="eastAsia" w:ascii="黑体" w:hAnsi="黑体" w:eastAsia="黑体"/>
          <w:sz w:val="32"/>
          <w:szCs w:val="32"/>
        </w:rPr>
        <w:t>主要</w:t>
      </w:r>
      <w:r>
        <w:rPr>
          <w:rFonts w:hint="eastAsia" w:ascii="黑体" w:hAnsi="黑体" w:eastAsia="黑体"/>
          <w:sz w:val="32"/>
          <w:szCs w:val="32"/>
          <w:lang w:val="en-US" w:eastAsia="zh-CN"/>
        </w:rPr>
        <w:t>职责</w:t>
      </w:r>
    </w:p>
    <w:p w14:paraId="1EEA8EB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(一)拟订全市退役军人思想政治、管理保障和安置优抚等工作地方性法规规章和政策并组织实施，褒扬彰显退役军人为党、国家和人民牺牲奉献的精神风范和价值导向。</w:t>
      </w:r>
    </w:p>
    <w:p w14:paraId="21B8474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(二)负责全市军队转业干部、复员干部、离休退休干部、退役士兵和无军籍退休退职职工的移交安置工作和自主择业、就业退役军人服务管理等有关工作。</w:t>
      </w:r>
    </w:p>
    <w:p w14:paraId="439DF47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(三)组织指导全市退役军人教育培训工作，协调扶持退役军人和随军随调家属就业创业。                     </w:t>
      </w:r>
    </w:p>
    <w:p w14:paraId="3B11985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(四)会同有关部门拟定全市退役军人特殊保障政策并组织落实。</w:t>
      </w:r>
    </w:p>
    <w:p w14:paraId="3587A25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(五)组织协调落实军队移交我市符合条件的离休退休干部住房补贴和无军籍退休退职职工住房维修、房租补贴发放等服务保障工作，以及退役军人医疗保障、社会保险等待遇保障工作。</w:t>
      </w:r>
    </w:p>
    <w:p w14:paraId="78526D8B">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六)组织指导全市伤病残退役军人服务管理和抚恤工作，会同有关部门拟订有关退役军人医疗、疗养、养老等机构的规划政策并指导实施。承担不适宜继续服役的伤病残军人相关工作。组织指导军供服务保障工作。</w:t>
      </w:r>
    </w:p>
    <w:p w14:paraId="77792DD0">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(七)组织指导全市拥军优属工作。负责现役军人、退役军人、军队文职人员和军属优待、抚恤等工作，落实国民党抗战老兵等有关人员优待政策。</w:t>
      </w:r>
    </w:p>
    <w:p w14:paraId="2367280A">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八)负责烈士及退役军人荣誉奖励、军人公墓管理维护、纪念活动等工作，依法承担英雄烈士保护相关工作，审核拟列入市级烈士纪念设施名录，按规定总结表彰和宣扬退役军人、退役军人工作单位和个人先进典型事迹。</w:t>
      </w:r>
    </w:p>
    <w:p w14:paraId="0837245A">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(九)指导并监督检查退役军人相关法律法规和政策措施的落实，组织开展退役军人权益维护和有关人员的帮扶援助工作。指导督促所属单位进行安全管理。</w:t>
      </w:r>
    </w:p>
    <w:p w14:paraId="5C006957">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(十)在征求市委组织、机构编制等部门意见基础上，牵头提出全市计划分配军队转业干部、符合条件的退役士兵的安置计划。</w:t>
      </w:r>
    </w:p>
    <w:p w14:paraId="75E32F10">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(十一)完成市委、市政府交办的其他任务。</w:t>
      </w:r>
    </w:p>
    <w:p w14:paraId="196A9324">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黑体" w:hAnsi="黑体" w:eastAsia="黑体"/>
          <w:sz w:val="32"/>
          <w:szCs w:val="32"/>
        </w:rPr>
      </w:pPr>
      <w:r>
        <w:rPr>
          <w:rFonts w:hint="eastAsia" w:ascii="仿宋" w:hAnsi="仿宋" w:eastAsia="仿宋" w:cs="仿宋"/>
          <w:b w:val="0"/>
          <w:bCs w:val="0"/>
          <w:sz w:val="32"/>
          <w:szCs w:val="32"/>
          <w:lang w:val="en-US" w:eastAsia="zh-CN"/>
        </w:rPr>
        <w:t>(十二)职能转变。市退役军人事务局应加强全市退役军人思想政治工作和服务保障体系建设，建立健全集中统一、职责清晰的退役军人管理保障体制，协调各方力量更好为军人军属服务，维护军人军属合法权益，让军人成为全社会尊崇的职业，褒扬彰显退役军人为党、国家和人民牺牲奉献的精神风范和价值导向，更好地为增强部队战斗力和凝聚力做好组织保障。</w:t>
      </w:r>
    </w:p>
    <w:p w14:paraId="464E7CFA">
      <w:pPr>
        <w:ind w:firstLine="630"/>
        <w:jc w:val="left"/>
        <w:rPr>
          <w:rFonts w:hint="eastAsia" w:ascii="黑体" w:hAnsi="黑体" w:eastAsia="黑体"/>
          <w:sz w:val="32"/>
          <w:szCs w:val="32"/>
        </w:rPr>
      </w:pPr>
    </w:p>
    <w:p w14:paraId="7F669B3B">
      <w:pPr>
        <w:ind w:firstLine="630"/>
        <w:jc w:val="left"/>
        <w:rPr>
          <w:rFonts w:hint="eastAsia" w:ascii="黑体" w:hAnsi="黑体" w:eastAsia="黑体"/>
          <w:sz w:val="32"/>
          <w:szCs w:val="32"/>
        </w:rPr>
      </w:pPr>
      <w:r>
        <w:rPr>
          <w:rFonts w:hint="eastAsia" w:ascii="黑体" w:hAnsi="黑体" w:eastAsia="黑体"/>
          <w:sz w:val="32"/>
          <w:szCs w:val="32"/>
        </w:rPr>
        <w:t>二、</w:t>
      </w:r>
      <w:r>
        <w:rPr>
          <w:rFonts w:hint="eastAsia" w:ascii="黑体" w:hAnsi="黑体" w:eastAsia="黑体"/>
          <w:sz w:val="32"/>
          <w:szCs w:val="32"/>
          <w:lang w:val="en-US" w:eastAsia="zh-CN"/>
        </w:rPr>
        <w:t>单位</w:t>
      </w:r>
      <w:r>
        <w:rPr>
          <w:rFonts w:hint="eastAsia" w:ascii="黑体" w:hAnsi="黑体" w:eastAsia="黑体"/>
          <w:sz w:val="32"/>
          <w:szCs w:val="32"/>
        </w:rPr>
        <w:t>基本情况</w:t>
      </w:r>
    </w:p>
    <w:p w14:paraId="5BD45A5D">
      <w:pPr>
        <w:ind w:firstLine="630"/>
        <w:jc w:val="left"/>
        <w:rPr>
          <w:rFonts w:hint="default" w:ascii="仿宋" w:hAnsi="仿宋" w:eastAsia="仿宋"/>
          <w:sz w:val="32"/>
          <w:szCs w:val="32"/>
          <w:lang w:val="en-US" w:eastAsia="zh-CN"/>
        </w:rPr>
      </w:pPr>
      <w:r>
        <w:rPr>
          <w:rFonts w:hint="eastAsia" w:ascii="仿宋" w:hAnsi="仿宋" w:eastAsia="仿宋"/>
          <w:sz w:val="32"/>
          <w:szCs w:val="32"/>
          <w:lang w:val="en-US" w:eastAsia="zh-CN"/>
        </w:rPr>
        <w:t>本单位设立4个内设机构，分别是办公室、思想政治和权益维护科、移交安置和就业创业科、拥军优抚科。</w:t>
      </w:r>
    </w:p>
    <w:p w14:paraId="4DAE3F7B">
      <w:pPr>
        <w:keepNext w:val="0"/>
        <w:keepLines w:val="0"/>
        <w:pageBreakBefore w:val="0"/>
        <w:kinsoku/>
        <w:wordWrap/>
        <w:overflowPunct/>
        <w:topLinePunct w:val="0"/>
        <w:autoSpaceDE/>
        <w:autoSpaceDN/>
        <w:bidi w:val="0"/>
        <w:adjustRightInd/>
        <w:snapToGrid/>
        <w:spacing w:line="600" w:lineRule="exact"/>
        <w:ind w:firstLine="630"/>
        <w:jc w:val="both"/>
        <w:textAlignment w:val="auto"/>
        <w:rPr>
          <w:rFonts w:hint="eastAsia" w:ascii="仿宋_GB2312" w:hAnsi="仿宋_GB2312" w:eastAsia="仿宋_GB2312"/>
          <w:color w:val="auto"/>
          <w:sz w:val="32"/>
          <w:szCs w:val="32"/>
          <w:lang w:eastAsia="zh-CN"/>
        </w:rPr>
      </w:pPr>
      <w:r>
        <w:rPr>
          <w:rFonts w:hint="eastAsia" w:ascii="仿宋_GB2312" w:hAnsi="仿宋_GB2312" w:eastAsia="仿宋_GB2312"/>
          <w:color w:val="auto"/>
          <w:sz w:val="32"/>
          <w:szCs w:val="32"/>
        </w:rPr>
        <w:t>本</w:t>
      </w:r>
      <w:r>
        <w:rPr>
          <w:rFonts w:hint="eastAsia" w:ascii="仿宋_GB2312" w:hAnsi="仿宋_GB2312" w:eastAsia="仿宋_GB2312"/>
          <w:color w:val="auto"/>
          <w:sz w:val="32"/>
          <w:szCs w:val="32"/>
          <w:lang w:val="en-US" w:eastAsia="zh-CN"/>
        </w:rPr>
        <w:t>单位</w:t>
      </w:r>
      <w:r>
        <w:rPr>
          <w:rFonts w:hint="eastAsia" w:ascii="仿宋_GB2312" w:hAnsi="仿宋_GB2312" w:eastAsia="仿宋_GB2312"/>
          <w:color w:val="auto"/>
          <w:sz w:val="32"/>
          <w:szCs w:val="32"/>
        </w:rPr>
        <w:t>202</w:t>
      </w:r>
      <w:r>
        <w:rPr>
          <w:rFonts w:hint="eastAsia" w:ascii="仿宋_GB2312" w:hAnsi="仿宋_GB2312" w:eastAsia="仿宋_GB2312"/>
          <w:color w:val="auto"/>
          <w:sz w:val="32"/>
          <w:szCs w:val="32"/>
          <w:lang w:val="en-US" w:eastAsia="zh-CN"/>
        </w:rPr>
        <w:t>2</w:t>
      </w:r>
      <w:r>
        <w:rPr>
          <w:rFonts w:hint="eastAsia" w:ascii="仿宋_GB2312" w:hAnsi="仿宋_GB2312" w:eastAsia="仿宋_GB2312"/>
          <w:color w:val="auto"/>
          <w:sz w:val="32"/>
          <w:szCs w:val="32"/>
        </w:rPr>
        <w:t>年年末实有人数</w:t>
      </w:r>
      <w:r>
        <w:rPr>
          <w:rFonts w:hint="eastAsia" w:ascii="仿宋_GB2312" w:hAnsi="仿宋_GB2312" w:eastAsia="仿宋_GB2312"/>
          <w:color w:val="auto"/>
          <w:sz w:val="32"/>
          <w:szCs w:val="32"/>
          <w:lang w:val="en-US" w:eastAsia="zh-CN"/>
        </w:rPr>
        <w:t>13</w:t>
      </w:r>
      <w:r>
        <w:rPr>
          <w:rFonts w:hint="eastAsia" w:ascii="仿宋_GB2312" w:hAnsi="仿宋_GB2312" w:eastAsia="仿宋_GB2312"/>
          <w:color w:val="auto"/>
          <w:sz w:val="32"/>
          <w:szCs w:val="32"/>
        </w:rPr>
        <w:t>人，其中在职人员</w:t>
      </w:r>
      <w:r>
        <w:rPr>
          <w:rFonts w:hint="eastAsia" w:ascii="仿宋_GB2312" w:hAnsi="仿宋_GB2312" w:eastAsia="仿宋_GB2312"/>
          <w:color w:val="auto"/>
          <w:sz w:val="32"/>
          <w:szCs w:val="32"/>
          <w:lang w:val="en-US" w:eastAsia="zh-CN"/>
        </w:rPr>
        <w:t>13</w:t>
      </w:r>
      <w:r>
        <w:rPr>
          <w:rFonts w:hint="eastAsia" w:ascii="仿宋_GB2312" w:hAnsi="仿宋_GB2312" w:eastAsia="仿宋_GB2312"/>
          <w:color w:val="auto"/>
          <w:sz w:val="32"/>
          <w:szCs w:val="32"/>
        </w:rPr>
        <w:t>人，离休人员</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人，退休人员</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人</w:t>
      </w:r>
      <w:r>
        <w:rPr>
          <w:rFonts w:hint="eastAsia" w:ascii="仿宋_GB2312" w:hAnsi="仿宋_GB2312" w:eastAsia="仿宋_GB2312"/>
          <w:color w:val="auto"/>
          <w:sz w:val="32"/>
          <w:szCs w:val="32"/>
          <w:lang w:eastAsia="zh-CN"/>
        </w:rPr>
        <w:t>（</w:t>
      </w:r>
      <w:r>
        <w:rPr>
          <w:rFonts w:hint="eastAsia" w:ascii="仿宋_GB2312" w:hAnsi="仿宋_GB2312" w:eastAsia="仿宋_GB2312"/>
          <w:color w:val="auto"/>
          <w:sz w:val="32"/>
          <w:szCs w:val="32"/>
          <w:lang w:val="en-US" w:eastAsia="zh-CN"/>
        </w:rPr>
        <w:t>不含</w:t>
      </w:r>
      <w:r>
        <w:rPr>
          <w:rFonts w:hint="eastAsia" w:ascii="仿宋_GB2312" w:hAnsi="仿宋_GB2312" w:eastAsia="仿宋_GB2312"/>
          <w:color w:val="auto"/>
          <w:sz w:val="32"/>
          <w:szCs w:val="32"/>
        </w:rPr>
        <w:t>由养老保险基金发放养老金的离退休人员</w:t>
      </w:r>
      <w:r>
        <w:rPr>
          <w:rFonts w:hint="eastAsia" w:ascii="仿宋_GB2312" w:hAnsi="仿宋_GB2312" w:eastAsia="仿宋_GB2312"/>
          <w:color w:val="auto"/>
          <w:sz w:val="32"/>
          <w:szCs w:val="32"/>
          <w:lang w:eastAsia="zh-CN"/>
        </w:rPr>
        <w:t>）</w:t>
      </w:r>
      <w:r>
        <w:rPr>
          <w:rFonts w:hint="eastAsia" w:ascii="仿宋_GB2312" w:hAnsi="仿宋_GB2312" w:eastAsia="仿宋_GB2312"/>
          <w:color w:val="auto"/>
          <w:sz w:val="32"/>
          <w:szCs w:val="32"/>
        </w:rPr>
        <w:t>；年末其他人员</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人；年末学生人数</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人</w:t>
      </w:r>
      <w:r>
        <w:rPr>
          <w:rFonts w:hint="eastAsia" w:ascii="仿宋_GB2312" w:hAnsi="仿宋_GB2312" w:eastAsia="仿宋_GB2312"/>
          <w:color w:val="auto"/>
          <w:sz w:val="32"/>
          <w:szCs w:val="32"/>
          <w:lang w:val="en-US" w:eastAsia="zh-CN"/>
        </w:rPr>
        <w:t>；</w:t>
      </w:r>
      <w:r>
        <w:rPr>
          <w:rFonts w:hint="eastAsia" w:ascii="仿宋_GB2312" w:hAnsi="仿宋_GB2312" w:eastAsia="仿宋_GB2312"/>
          <w:color w:val="auto"/>
          <w:sz w:val="32"/>
          <w:szCs w:val="32"/>
        </w:rPr>
        <w:t>由养老保险基金发放养老金的离退休人员</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人</w:t>
      </w:r>
      <w:r>
        <w:rPr>
          <w:rFonts w:hint="eastAsia" w:ascii="仿宋_GB2312" w:hAnsi="仿宋_GB2312" w:eastAsia="仿宋_GB2312"/>
          <w:color w:val="auto"/>
          <w:sz w:val="32"/>
          <w:szCs w:val="32"/>
          <w:lang w:eastAsia="zh-CN"/>
        </w:rPr>
        <w:t>。</w:t>
      </w:r>
    </w:p>
    <w:p w14:paraId="61E7F733">
      <w:pPr>
        <w:ind w:firstLine="630"/>
        <w:jc w:val="left"/>
        <w:rPr>
          <w:rFonts w:hint="eastAsia" w:ascii="仿宋" w:hAnsi="仿宋" w:eastAsia="仿宋"/>
          <w:sz w:val="32"/>
          <w:szCs w:val="32"/>
          <w:lang w:val="en-US" w:eastAsia="zh-CN"/>
        </w:rPr>
      </w:pPr>
    </w:p>
    <w:p w14:paraId="42261B5C">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rPr>
      </w:pPr>
    </w:p>
    <w:p w14:paraId="23DB634F">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rPr>
      </w:pPr>
    </w:p>
    <w:p w14:paraId="771D4309">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rPr>
      </w:pPr>
    </w:p>
    <w:p w14:paraId="7AE2F76F">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rPr>
      </w:pPr>
    </w:p>
    <w:p w14:paraId="37C364E8">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rPr>
      </w:pPr>
    </w:p>
    <w:p w14:paraId="1D6DD807">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rPr>
      </w:pPr>
    </w:p>
    <w:p w14:paraId="127465E2">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rPr>
      </w:pPr>
    </w:p>
    <w:p w14:paraId="3661F714">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rPr>
      </w:pPr>
    </w:p>
    <w:p w14:paraId="3B87B676">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rPr>
      </w:pPr>
    </w:p>
    <w:p w14:paraId="11D9F84F">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rPr>
      </w:pPr>
    </w:p>
    <w:p w14:paraId="0E4C6233">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rPr>
      </w:pPr>
    </w:p>
    <w:p w14:paraId="4251D0C2">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rPr>
      </w:pPr>
    </w:p>
    <w:p w14:paraId="3AC3DB0A">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rPr>
      </w:pPr>
    </w:p>
    <w:p w14:paraId="0566AD97">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rPr>
      </w:pPr>
    </w:p>
    <w:p w14:paraId="4806433C">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rPr>
      </w:pPr>
    </w:p>
    <w:p w14:paraId="5F77DAE7">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第二部分  202</w:t>
      </w:r>
      <w:r>
        <w:rPr>
          <w:rFonts w:hint="eastAsia" w:ascii="方正小标宋简体" w:hAnsi="方正小标宋简体" w:eastAsia="方正小标宋简体" w:cs="方正小标宋简体"/>
          <w:b w:val="0"/>
          <w:bCs/>
          <w:color w:val="auto"/>
          <w:sz w:val="44"/>
          <w:szCs w:val="44"/>
          <w:lang w:val="en-US" w:eastAsia="zh-CN"/>
        </w:rPr>
        <w:t>2</w:t>
      </w:r>
      <w:r>
        <w:rPr>
          <w:rFonts w:hint="eastAsia" w:ascii="方正小标宋简体" w:hAnsi="方正小标宋简体" w:eastAsia="方正小标宋简体" w:cs="方正小标宋简体"/>
          <w:b w:val="0"/>
          <w:bCs/>
          <w:color w:val="auto"/>
          <w:sz w:val="44"/>
          <w:szCs w:val="44"/>
        </w:rPr>
        <w:t>年度</w:t>
      </w:r>
      <w:r>
        <w:rPr>
          <w:rFonts w:hint="eastAsia" w:ascii="方正小标宋简体" w:hAnsi="方正小标宋简体" w:eastAsia="方正小标宋简体" w:cs="方正小标宋简体"/>
          <w:b w:val="0"/>
          <w:bCs/>
          <w:color w:val="auto"/>
          <w:sz w:val="44"/>
          <w:szCs w:val="44"/>
          <w:lang w:val="en-US" w:eastAsia="zh-CN"/>
        </w:rPr>
        <w:t>单位</w:t>
      </w:r>
      <w:r>
        <w:rPr>
          <w:rFonts w:hint="eastAsia" w:ascii="方正小标宋简体" w:hAnsi="方正小标宋简体" w:eastAsia="方正小标宋简体" w:cs="方正小标宋简体"/>
          <w:b w:val="0"/>
          <w:bCs/>
          <w:color w:val="auto"/>
          <w:sz w:val="44"/>
          <w:szCs w:val="44"/>
        </w:rPr>
        <w:t>决算表</w:t>
      </w:r>
    </w:p>
    <w:p w14:paraId="67FD9173">
      <w:pPr>
        <w:widowControl/>
        <w:numPr>
          <w:ilvl w:val="0"/>
          <w:numId w:val="0"/>
        </w:numPr>
        <w:spacing w:line="600" w:lineRule="exact"/>
        <w:jc w:val="both"/>
        <w:rPr>
          <w:rFonts w:hint="eastAsia" w:ascii="宋体" w:hAnsi="宋体"/>
          <w:b/>
          <w:sz w:val="36"/>
          <w:szCs w:val="36"/>
        </w:rPr>
      </w:pPr>
    </w:p>
    <w:p w14:paraId="2EE61DF5">
      <w:pPr>
        <w:autoSpaceDE w:val="0"/>
        <w:autoSpaceDN w:val="0"/>
        <w:adjustRightInd w:val="0"/>
        <w:spacing w:line="360" w:lineRule="auto"/>
        <w:jc w:val="center"/>
        <w:rPr>
          <w:rFonts w:hint="eastAsia" w:eastAsia="宋体"/>
          <w:sz w:val="22"/>
          <w:szCs w:val="21"/>
          <w:lang w:eastAsia="zh-CN"/>
        </w:rPr>
      </w:pPr>
    </w:p>
    <w:p w14:paraId="3847EFB3">
      <w:pPr>
        <w:autoSpaceDE w:val="0"/>
        <w:autoSpaceDN w:val="0"/>
        <w:adjustRightInd w:val="0"/>
        <w:spacing w:line="360" w:lineRule="auto"/>
        <w:jc w:val="left"/>
        <w:rPr>
          <w:rFonts w:hint="eastAsia" w:eastAsia="宋体"/>
          <w:sz w:val="22"/>
          <w:szCs w:val="21"/>
          <w:lang w:eastAsia="zh-CN"/>
        </w:rPr>
      </w:pPr>
      <w:r>
        <w:rPr>
          <w:rFonts w:hint="eastAsia" w:eastAsia="宋体"/>
          <w:sz w:val="22"/>
          <w:szCs w:val="21"/>
          <w:lang w:eastAsia="zh-CN"/>
        </w:rPr>
        <w:drawing>
          <wp:inline distT="0" distB="0" distL="114300" distR="114300">
            <wp:extent cx="5273040" cy="5233670"/>
            <wp:effectExtent l="0" t="0" r="3810" b="5080"/>
            <wp:docPr id="11" name="图片 11" descr="1695107277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695107277998"/>
                    <pic:cNvPicPr>
                      <a:picLocks noChangeAspect="1"/>
                    </pic:cNvPicPr>
                  </pic:nvPicPr>
                  <pic:blipFill>
                    <a:blip r:embed="rId4"/>
                    <a:stretch>
                      <a:fillRect/>
                    </a:stretch>
                  </pic:blipFill>
                  <pic:spPr>
                    <a:xfrm>
                      <a:off x="0" y="0"/>
                      <a:ext cx="5273040" cy="5233670"/>
                    </a:xfrm>
                    <a:prstGeom prst="rect">
                      <a:avLst/>
                    </a:prstGeom>
                  </pic:spPr>
                </pic:pic>
              </a:graphicData>
            </a:graphic>
          </wp:inline>
        </w:drawing>
      </w:r>
    </w:p>
    <w:p w14:paraId="2296011A">
      <w:pPr>
        <w:pStyle w:val="2"/>
        <w:rPr>
          <w:rFonts w:hint="eastAsia" w:eastAsia="宋体"/>
          <w:sz w:val="22"/>
          <w:szCs w:val="22"/>
          <w:lang w:eastAsia="zh-CN"/>
        </w:rPr>
      </w:pPr>
      <w:r>
        <w:rPr>
          <w:rFonts w:hint="eastAsia" w:eastAsia="宋体"/>
          <w:sz w:val="22"/>
          <w:szCs w:val="22"/>
          <w:lang w:eastAsia="zh-CN"/>
        </w:rPr>
        <w:drawing>
          <wp:inline distT="0" distB="0" distL="114300" distR="114300">
            <wp:extent cx="5267325" cy="3542665"/>
            <wp:effectExtent l="0" t="0" r="9525" b="635"/>
            <wp:docPr id="12" name="图片 12" descr="1695107308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695107308039"/>
                    <pic:cNvPicPr>
                      <a:picLocks noChangeAspect="1"/>
                    </pic:cNvPicPr>
                  </pic:nvPicPr>
                  <pic:blipFill>
                    <a:blip r:embed="rId5"/>
                    <a:stretch>
                      <a:fillRect/>
                    </a:stretch>
                  </pic:blipFill>
                  <pic:spPr>
                    <a:xfrm>
                      <a:off x="0" y="0"/>
                      <a:ext cx="5267325" cy="3542665"/>
                    </a:xfrm>
                    <a:prstGeom prst="rect">
                      <a:avLst/>
                    </a:prstGeom>
                  </pic:spPr>
                </pic:pic>
              </a:graphicData>
            </a:graphic>
          </wp:inline>
        </w:drawing>
      </w:r>
    </w:p>
    <w:p w14:paraId="1BD6D65C">
      <w:pPr>
        <w:pStyle w:val="2"/>
        <w:rPr>
          <w:rFonts w:hint="eastAsia" w:eastAsia="宋体"/>
          <w:sz w:val="22"/>
          <w:szCs w:val="22"/>
          <w:lang w:eastAsia="zh-CN"/>
        </w:rPr>
      </w:pPr>
      <w:r>
        <w:rPr>
          <w:rFonts w:hint="eastAsia" w:eastAsia="宋体"/>
          <w:sz w:val="22"/>
          <w:szCs w:val="22"/>
          <w:lang w:eastAsia="zh-CN"/>
        </w:rPr>
        <w:drawing>
          <wp:inline distT="0" distB="0" distL="114300" distR="114300">
            <wp:extent cx="5273675" cy="4000500"/>
            <wp:effectExtent l="0" t="0" r="3175" b="0"/>
            <wp:docPr id="13" name="图片 13" descr="1695107336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695107336084"/>
                    <pic:cNvPicPr>
                      <a:picLocks noChangeAspect="1"/>
                    </pic:cNvPicPr>
                  </pic:nvPicPr>
                  <pic:blipFill>
                    <a:blip r:embed="rId6"/>
                    <a:stretch>
                      <a:fillRect/>
                    </a:stretch>
                  </pic:blipFill>
                  <pic:spPr>
                    <a:xfrm>
                      <a:off x="0" y="0"/>
                      <a:ext cx="5273675" cy="4000500"/>
                    </a:xfrm>
                    <a:prstGeom prst="rect">
                      <a:avLst/>
                    </a:prstGeom>
                  </pic:spPr>
                </pic:pic>
              </a:graphicData>
            </a:graphic>
          </wp:inline>
        </w:drawing>
      </w:r>
    </w:p>
    <w:p w14:paraId="5F51E992">
      <w:pPr>
        <w:autoSpaceDE w:val="0"/>
        <w:autoSpaceDN w:val="0"/>
        <w:adjustRightInd w:val="0"/>
        <w:spacing w:line="360" w:lineRule="auto"/>
        <w:jc w:val="left"/>
        <w:rPr>
          <w:rFonts w:hint="eastAsia" w:ascii="仿宋" w:hAnsi="仿宋" w:eastAsia="仿宋" w:cs="仿宋_GB2312"/>
          <w:kern w:val="0"/>
          <w:sz w:val="32"/>
          <w:szCs w:val="32"/>
          <w:lang w:eastAsia="zh-CN"/>
        </w:rPr>
      </w:pPr>
      <w:r>
        <w:rPr>
          <w:rFonts w:hint="eastAsia" w:ascii="仿宋" w:hAnsi="仿宋" w:eastAsia="仿宋" w:cs="仿宋_GB2312"/>
          <w:kern w:val="0"/>
          <w:sz w:val="32"/>
          <w:szCs w:val="32"/>
          <w:lang w:eastAsia="zh-CN"/>
        </w:rPr>
        <w:drawing>
          <wp:inline distT="0" distB="0" distL="114300" distR="114300">
            <wp:extent cx="5271135" cy="3830320"/>
            <wp:effectExtent l="0" t="0" r="5715" b="17780"/>
            <wp:docPr id="14" name="图片 14" descr="1695107359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1695107359779"/>
                    <pic:cNvPicPr>
                      <a:picLocks noChangeAspect="1"/>
                    </pic:cNvPicPr>
                  </pic:nvPicPr>
                  <pic:blipFill>
                    <a:blip r:embed="rId7"/>
                    <a:stretch>
                      <a:fillRect/>
                    </a:stretch>
                  </pic:blipFill>
                  <pic:spPr>
                    <a:xfrm>
                      <a:off x="0" y="0"/>
                      <a:ext cx="5271135" cy="3830320"/>
                    </a:xfrm>
                    <a:prstGeom prst="rect">
                      <a:avLst/>
                    </a:prstGeom>
                  </pic:spPr>
                </pic:pic>
              </a:graphicData>
            </a:graphic>
          </wp:inline>
        </w:drawing>
      </w:r>
    </w:p>
    <w:p w14:paraId="0A4D4E5B">
      <w:pPr>
        <w:autoSpaceDE w:val="0"/>
        <w:autoSpaceDN w:val="0"/>
        <w:adjustRightInd w:val="0"/>
        <w:spacing w:line="360" w:lineRule="auto"/>
        <w:jc w:val="left"/>
        <w:rPr>
          <w:rFonts w:hint="eastAsia" w:eastAsia="宋体"/>
          <w:sz w:val="22"/>
          <w:szCs w:val="32"/>
          <w:lang w:eastAsia="zh-CN"/>
        </w:rPr>
      </w:pPr>
    </w:p>
    <w:p w14:paraId="75920158">
      <w:pPr>
        <w:autoSpaceDE w:val="0"/>
        <w:autoSpaceDN w:val="0"/>
        <w:adjustRightInd w:val="0"/>
        <w:spacing w:line="360" w:lineRule="auto"/>
        <w:jc w:val="left"/>
        <w:rPr>
          <w:rFonts w:hint="eastAsia" w:eastAsia="宋体"/>
          <w:sz w:val="22"/>
          <w:szCs w:val="32"/>
          <w:lang w:eastAsia="zh-CN"/>
        </w:rPr>
      </w:pPr>
      <w:r>
        <w:rPr>
          <w:rFonts w:hint="eastAsia" w:eastAsia="宋体"/>
          <w:sz w:val="22"/>
          <w:szCs w:val="32"/>
          <w:lang w:eastAsia="zh-CN"/>
        </w:rPr>
        <w:drawing>
          <wp:inline distT="0" distB="0" distL="114300" distR="114300">
            <wp:extent cx="5269230" cy="5044440"/>
            <wp:effectExtent l="0" t="0" r="7620" b="3810"/>
            <wp:docPr id="15" name="图片 15" descr="1695107379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695107379181"/>
                    <pic:cNvPicPr>
                      <a:picLocks noChangeAspect="1"/>
                    </pic:cNvPicPr>
                  </pic:nvPicPr>
                  <pic:blipFill>
                    <a:blip r:embed="rId8"/>
                    <a:stretch>
                      <a:fillRect/>
                    </a:stretch>
                  </pic:blipFill>
                  <pic:spPr>
                    <a:xfrm>
                      <a:off x="0" y="0"/>
                      <a:ext cx="5269230" cy="5044440"/>
                    </a:xfrm>
                    <a:prstGeom prst="rect">
                      <a:avLst/>
                    </a:prstGeom>
                  </pic:spPr>
                </pic:pic>
              </a:graphicData>
            </a:graphic>
          </wp:inline>
        </w:drawing>
      </w:r>
      <w:r>
        <w:rPr>
          <w:rFonts w:hint="eastAsia" w:eastAsia="宋体"/>
          <w:sz w:val="22"/>
          <w:szCs w:val="32"/>
          <w:lang w:eastAsia="zh-CN"/>
        </w:rPr>
        <w:drawing>
          <wp:inline distT="0" distB="0" distL="114300" distR="114300">
            <wp:extent cx="5266690" cy="8476615"/>
            <wp:effectExtent l="0" t="0" r="10160" b="635"/>
            <wp:docPr id="22" name="图片 22" descr="169510761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1695107612326"/>
                    <pic:cNvPicPr>
                      <a:picLocks noChangeAspect="1"/>
                    </pic:cNvPicPr>
                  </pic:nvPicPr>
                  <pic:blipFill>
                    <a:blip r:embed="rId9"/>
                    <a:stretch>
                      <a:fillRect/>
                    </a:stretch>
                  </pic:blipFill>
                  <pic:spPr>
                    <a:xfrm>
                      <a:off x="0" y="0"/>
                      <a:ext cx="5266690" cy="8476615"/>
                    </a:xfrm>
                    <a:prstGeom prst="rect">
                      <a:avLst/>
                    </a:prstGeom>
                  </pic:spPr>
                </pic:pic>
              </a:graphicData>
            </a:graphic>
          </wp:inline>
        </w:drawing>
      </w:r>
    </w:p>
    <w:p w14:paraId="136D1798">
      <w:pPr>
        <w:autoSpaceDE w:val="0"/>
        <w:autoSpaceDN w:val="0"/>
        <w:adjustRightInd w:val="0"/>
        <w:spacing w:line="360" w:lineRule="auto"/>
        <w:jc w:val="left"/>
        <w:rPr>
          <w:rFonts w:hint="eastAsia" w:eastAsia="宋体"/>
          <w:sz w:val="22"/>
          <w:szCs w:val="32"/>
          <w:lang w:eastAsia="zh-CN"/>
        </w:rPr>
      </w:pPr>
      <w:r>
        <w:rPr>
          <w:rFonts w:hint="eastAsia" w:eastAsia="宋体"/>
          <w:sz w:val="22"/>
          <w:szCs w:val="32"/>
          <w:lang w:eastAsia="zh-CN"/>
        </w:rPr>
        <w:drawing>
          <wp:inline distT="0" distB="0" distL="114300" distR="114300">
            <wp:extent cx="5266690" cy="2037080"/>
            <wp:effectExtent l="0" t="0" r="10160" b="1270"/>
            <wp:docPr id="21" name="图片 21" descr="169510758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1695107581841"/>
                    <pic:cNvPicPr>
                      <a:picLocks noChangeAspect="1"/>
                    </pic:cNvPicPr>
                  </pic:nvPicPr>
                  <pic:blipFill>
                    <a:blip r:embed="rId10"/>
                    <a:stretch>
                      <a:fillRect/>
                    </a:stretch>
                  </pic:blipFill>
                  <pic:spPr>
                    <a:xfrm>
                      <a:off x="0" y="0"/>
                      <a:ext cx="5266690" cy="2037080"/>
                    </a:xfrm>
                    <a:prstGeom prst="rect">
                      <a:avLst/>
                    </a:prstGeom>
                  </pic:spPr>
                </pic:pic>
              </a:graphicData>
            </a:graphic>
          </wp:inline>
        </w:drawing>
      </w:r>
    </w:p>
    <w:p w14:paraId="710EDC1C">
      <w:pPr>
        <w:autoSpaceDE w:val="0"/>
        <w:autoSpaceDN w:val="0"/>
        <w:adjustRightInd w:val="0"/>
        <w:spacing w:line="360" w:lineRule="auto"/>
        <w:jc w:val="left"/>
        <w:rPr>
          <w:rFonts w:hint="eastAsia" w:eastAsia="宋体"/>
          <w:sz w:val="22"/>
          <w:szCs w:val="32"/>
          <w:lang w:eastAsia="zh-CN"/>
        </w:rPr>
      </w:pPr>
    </w:p>
    <w:p w14:paraId="4B755D76">
      <w:pPr>
        <w:pStyle w:val="2"/>
        <w:rPr>
          <w:rFonts w:hint="eastAsia" w:eastAsia="宋体"/>
          <w:sz w:val="22"/>
          <w:szCs w:val="32"/>
          <w:lang w:eastAsia="zh-CN"/>
        </w:rPr>
      </w:pPr>
    </w:p>
    <w:p w14:paraId="50119F07">
      <w:pPr>
        <w:pStyle w:val="2"/>
        <w:rPr>
          <w:rFonts w:hint="eastAsia" w:eastAsia="宋体"/>
          <w:sz w:val="22"/>
          <w:szCs w:val="32"/>
          <w:lang w:eastAsia="zh-CN"/>
        </w:rPr>
      </w:pPr>
    </w:p>
    <w:p w14:paraId="42412A8F">
      <w:pPr>
        <w:autoSpaceDE w:val="0"/>
        <w:autoSpaceDN w:val="0"/>
        <w:adjustRightInd w:val="0"/>
        <w:spacing w:line="360" w:lineRule="auto"/>
        <w:jc w:val="left"/>
        <w:rPr>
          <w:rFonts w:hint="eastAsia" w:eastAsia="宋体"/>
          <w:sz w:val="22"/>
          <w:szCs w:val="32"/>
          <w:lang w:eastAsia="zh-CN"/>
        </w:rPr>
      </w:pPr>
      <w:r>
        <w:rPr>
          <w:rFonts w:hint="eastAsia" w:eastAsia="宋体"/>
          <w:sz w:val="22"/>
          <w:szCs w:val="32"/>
          <w:lang w:eastAsia="zh-CN"/>
        </w:rPr>
        <w:drawing>
          <wp:inline distT="0" distB="0" distL="114300" distR="114300">
            <wp:extent cx="5272405" cy="2749550"/>
            <wp:effectExtent l="0" t="0" r="4445" b="12700"/>
            <wp:docPr id="18" name="图片 18" descr="1695107494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1695107494058"/>
                    <pic:cNvPicPr>
                      <a:picLocks noChangeAspect="1"/>
                    </pic:cNvPicPr>
                  </pic:nvPicPr>
                  <pic:blipFill>
                    <a:blip r:embed="rId11"/>
                    <a:stretch>
                      <a:fillRect/>
                    </a:stretch>
                  </pic:blipFill>
                  <pic:spPr>
                    <a:xfrm>
                      <a:off x="0" y="0"/>
                      <a:ext cx="5272405" cy="2749550"/>
                    </a:xfrm>
                    <a:prstGeom prst="rect">
                      <a:avLst/>
                    </a:prstGeom>
                  </pic:spPr>
                </pic:pic>
              </a:graphicData>
            </a:graphic>
          </wp:inline>
        </w:drawing>
      </w:r>
    </w:p>
    <w:p w14:paraId="0DCD5AF2">
      <w:pPr>
        <w:autoSpaceDE w:val="0"/>
        <w:autoSpaceDN w:val="0"/>
        <w:adjustRightInd w:val="0"/>
        <w:spacing w:line="360" w:lineRule="auto"/>
        <w:jc w:val="left"/>
        <w:rPr>
          <w:rFonts w:hint="default" w:eastAsia="宋体"/>
          <w:sz w:val="22"/>
          <w:szCs w:val="24"/>
          <w:lang w:val="en-US" w:eastAsia="zh-CN"/>
        </w:rPr>
      </w:pPr>
      <w:r>
        <w:rPr>
          <w:rFonts w:hint="eastAsia"/>
          <w:sz w:val="22"/>
          <w:szCs w:val="24"/>
          <w:lang w:eastAsia="zh-CN"/>
        </w:rPr>
        <w:t>说明：本</w:t>
      </w:r>
      <w:r>
        <w:rPr>
          <w:rFonts w:hint="eastAsia"/>
          <w:sz w:val="22"/>
          <w:szCs w:val="24"/>
          <w:lang w:val="en-US" w:eastAsia="zh-CN"/>
        </w:rPr>
        <w:t>单位</w:t>
      </w:r>
      <w:r>
        <w:rPr>
          <w:rFonts w:hint="eastAsia"/>
          <w:sz w:val="22"/>
          <w:szCs w:val="24"/>
          <w:lang w:eastAsia="zh-CN"/>
        </w:rPr>
        <w:t>无国有资本经营预算财政拨款支出</w:t>
      </w:r>
      <w:r>
        <w:rPr>
          <w:rFonts w:hint="eastAsia"/>
          <w:sz w:val="22"/>
          <w:szCs w:val="24"/>
          <w:lang w:val="en-US" w:eastAsia="zh-CN"/>
        </w:rPr>
        <w:t>情况</w:t>
      </w:r>
    </w:p>
    <w:p w14:paraId="205D3682">
      <w:pPr>
        <w:autoSpaceDE w:val="0"/>
        <w:autoSpaceDN w:val="0"/>
        <w:adjustRightInd w:val="0"/>
        <w:spacing w:line="360" w:lineRule="auto"/>
        <w:jc w:val="left"/>
        <w:rPr>
          <w:rFonts w:hint="eastAsia" w:eastAsia="宋体"/>
          <w:sz w:val="22"/>
          <w:szCs w:val="32"/>
          <w:lang w:eastAsia="zh-CN"/>
        </w:rPr>
      </w:pPr>
    </w:p>
    <w:p w14:paraId="6045FF87">
      <w:pPr>
        <w:autoSpaceDE w:val="0"/>
        <w:autoSpaceDN w:val="0"/>
        <w:adjustRightInd w:val="0"/>
        <w:spacing w:line="360" w:lineRule="auto"/>
        <w:jc w:val="center"/>
        <w:rPr>
          <w:rFonts w:hint="eastAsia" w:eastAsia="宋体"/>
          <w:sz w:val="22"/>
          <w:szCs w:val="32"/>
          <w:lang w:eastAsia="zh-CN"/>
        </w:rPr>
      </w:pPr>
      <w:r>
        <w:rPr>
          <w:rFonts w:hint="eastAsia" w:eastAsia="宋体"/>
          <w:sz w:val="22"/>
          <w:szCs w:val="32"/>
          <w:lang w:eastAsia="zh-CN"/>
        </w:rPr>
        <w:drawing>
          <wp:inline distT="0" distB="0" distL="114300" distR="114300">
            <wp:extent cx="5273040" cy="4688840"/>
            <wp:effectExtent l="0" t="0" r="3810" b="16510"/>
            <wp:docPr id="19" name="图片 19" descr="1695107525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1695107525784"/>
                    <pic:cNvPicPr>
                      <a:picLocks noChangeAspect="1"/>
                    </pic:cNvPicPr>
                  </pic:nvPicPr>
                  <pic:blipFill>
                    <a:blip r:embed="rId12"/>
                    <a:stretch>
                      <a:fillRect/>
                    </a:stretch>
                  </pic:blipFill>
                  <pic:spPr>
                    <a:xfrm>
                      <a:off x="0" y="0"/>
                      <a:ext cx="5273040" cy="4688840"/>
                    </a:xfrm>
                    <a:prstGeom prst="rect">
                      <a:avLst/>
                    </a:prstGeom>
                  </pic:spPr>
                </pic:pic>
              </a:graphicData>
            </a:graphic>
          </wp:inline>
        </w:drawing>
      </w:r>
    </w:p>
    <w:p w14:paraId="237F2CC1">
      <w:pPr>
        <w:autoSpaceDE w:val="0"/>
        <w:autoSpaceDN w:val="0"/>
        <w:adjustRightInd w:val="0"/>
        <w:spacing w:line="360" w:lineRule="auto"/>
        <w:jc w:val="center"/>
        <w:rPr>
          <w:rFonts w:hint="eastAsia" w:eastAsia="宋体"/>
          <w:sz w:val="22"/>
          <w:szCs w:val="32"/>
          <w:lang w:eastAsia="zh-CN"/>
        </w:rPr>
      </w:pPr>
    </w:p>
    <w:p w14:paraId="7C08257D">
      <w:pPr>
        <w:autoSpaceDE w:val="0"/>
        <w:autoSpaceDN w:val="0"/>
        <w:adjustRightInd w:val="0"/>
        <w:spacing w:line="360" w:lineRule="auto"/>
        <w:jc w:val="center"/>
        <w:rPr>
          <w:rFonts w:hint="eastAsia" w:eastAsia="宋体"/>
          <w:sz w:val="22"/>
          <w:szCs w:val="32"/>
          <w:lang w:eastAsia="zh-CN"/>
        </w:rPr>
      </w:pPr>
    </w:p>
    <w:p w14:paraId="026E8B39">
      <w:pPr>
        <w:autoSpaceDE w:val="0"/>
        <w:autoSpaceDN w:val="0"/>
        <w:adjustRightInd w:val="0"/>
        <w:spacing w:line="360" w:lineRule="auto"/>
        <w:jc w:val="center"/>
        <w:rPr>
          <w:rFonts w:hint="eastAsia" w:eastAsia="宋体"/>
          <w:sz w:val="22"/>
          <w:szCs w:val="32"/>
          <w:lang w:eastAsia="zh-CN"/>
        </w:rPr>
      </w:pPr>
      <w:r>
        <w:rPr>
          <w:rFonts w:hint="eastAsia" w:eastAsia="宋体"/>
          <w:sz w:val="22"/>
          <w:szCs w:val="32"/>
          <w:lang w:eastAsia="zh-CN"/>
        </w:rPr>
        <w:drawing>
          <wp:inline distT="0" distB="0" distL="114300" distR="114300">
            <wp:extent cx="5269230" cy="3066415"/>
            <wp:effectExtent l="0" t="0" r="7620" b="635"/>
            <wp:docPr id="20" name="图片 20" descr="1695107555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1695107555590"/>
                    <pic:cNvPicPr>
                      <a:picLocks noChangeAspect="1"/>
                    </pic:cNvPicPr>
                  </pic:nvPicPr>
                  <pic:blipFill>
                    <a:blip r:embed="rId13"/>
                    <a:stretch>
                      <a:fillRect/>
                    </a:stretch>
                  </pic:blipFill>
                  <pic:spPr>
                    <a:xfrm>
                      <a:off x="0" y="0"/>
                      <a:ext cx="5269230" cy="3066415"/>
                    </a:xfrm>
                    <a:prstGeom prst="rect">
                      <a:avLst/>
                    </a:prstGeom>
                  </pic:spPr>
                </pic:pic>
              </a:graphicData>
            </a:graphic>
          </wp:inline>
        </w:drawing>
      </w:r>
    </w:p>
    <w:p w14:paraId="091057BF">
      <w:pPr>
        <w:autoSpaceDE w:val="0"/>
        <w:autoSpaceDN w:val="0"/>
        <w:adjustRightInd w:val="0"/>
        <w:spacing w:line="360" w:lineRule="auto"/>
        <w:jc w:val="left"/>
        <w:rPr>
          <w:rFonts w:hint="default" w:eastAsia="宋体"/>
          <w:sz w:val="22"/>
          <w:szCs w:val="24"/>
          <w:lang w:val="en-US" w:eastAsia="zh-CN"/>
        </w:rPr>
      </w:pPr>
      <w:r>
        <w:rPr>
          <w:rFonts w:hint="eastAsia"/>
          <w:sz w:val="22"/>
          <w:szCs w:val="24"/>
          <w:lang w:eastAsia="zh-CN"/>
        </w:rPr>
        <w:t>说明：本</w:t>
      </w:r>
      <w:r>
        <w:rPr>
          <w:rFonts w:hint="eastAsia"/>
          <w:sz w:val="22"/>
          <w:szCs w:val="24"/>
          <w:lang w:val="en-US" w:eastAsia="zh-CN"/>
        </w:rPr>
        <w:t>单位</w:t>
      </w:r>
      <w:r>
        <w:rPr>
          <w:rFonts w:hint="eastAsia"/>
          <w:sz w:val="22"/>
          <w:szCs w:val="24"/>
          <w:lang w:eastAsia="zh-CN"/>
        </w:rPr>
        <w:t>无国有</w:t>
      </w:r>
      <w:r>
        <w:rPr>
          <w:rFonts w:hint="eastAsia"/>
          <w:sz w:val="22"/>
          <w:szCs w:val="24"/>
          <w:lang w:val="en-US" w:eastAsia="zh-CN"/>
        </w:rPr>
        <w:t>资产占用情况</w:t>
      </w:r>
    </w:p>
    <w:p w14:paraId="69049FFF">
      <w:pPr>
        <w:widowControl/>
        <w:spacing w:line="600" w:lineRule="exact"/>
        <w:jc w:val="both"/>
        <w:rPr>
          <w:rFonts w:hint="eastAsia" w:ascii="宋体" w:hAnsi="宋体"/>
          <w:b/>
          <w:sz w:val="36"/>
          <w:szCs w:val="36"/>
        </w:rPr>
      </w:pPr>
    </w:p>
    <w:p w14:paraId="2C819476">
      <w:pPr>
        <w:widowControl/>
        <w:spacing w:line="600" w:lineRule="exact"/>
        <w:jc w:val="center"/>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第三部分  202</w:t>
      </w:r>
      <w:r>
        <w:rPr>
          <w:rFonts w:hint="eastAsia" w:ascii="方正小标宋简体" w:hAnsi="方正小标宋简体" w:eastAsia="方正小标宋简体" w:cs="方正小标宋简体"/>
          <w:b w:val="0"/>
          <w:bCs/>
          <w:color w:val="auto"/>
          <w:sz w:val="44"/>
          <w:szCs w:val="44"/>
          <w:lang w:val="en-US" w:eastAsia="zh-CN"/>
        </w:rPr>
        <w:t>2</w:t>
      </w:r>
      <w:r>
        <w:rPr>
          <w:rFonts w:hint="eastAsia" w:ascii="方正小标宋简体" w:hAnsi="方正小标宋简体" w:eastAsia="方正小标宋简体" w:cs="方正小标宋简体"/>
          <w:b w:val="0"/>
          <w:bCs/>
          <w:color w:val="auto"/>
          <w:sz w:val="44"/>
          <w:szCs w:val="44"/>
        </w:rPr>
        <w:t>年度</w:t>
      </w:r>
      <w:r>
        <w:rPr>
          <w:rFonts w:hint="eastAsia" w:ascii="方正小标宋简体" w:hAnsi="方正小标宋简体" w:eastAsia="方正小标宋简体" w:cs="方正小标宋简体"/>
          <w:b w:val="0"/>
          <w:bCs/>
          <w:color w:val="auto"/>
          <w:sz w:val="44"/>
          <w:szCs w:val="44"/>
          <w:lang w:val="en-US" w:eastAsia="zh-CN"/>
        </w:rPr>
        <w:t>单位</w:t>
      </w:r>
      <w:r>
        <w:rPr>
          <w:rFonts w:hint="eastAsia" w:ascii="方正小标宋简体" w:hAnsi="方正小标宋简体" w:eastAsia="方正小标宋简体" w:cs="方正小标宋简体"/>
          <w:b w:val="0"/>
          <w:bCs/>
          <w:color w:val="auto"/>
          <w:sz w:val="44"/>
          <w:szCs w:val="44"/>
        </w:rPr>
        <w:t>决算情况说明</w:t>
      </w:r>
    </w:p>
    <w:p w14:paraId="5C8B9531">
      <w:pPr>
        <w:ind w:firstLine="630"/>
        <w:jc w:val="left"/>
        <w:rPr>
          <w:rFonts w:hint="eastAsia" w:ascii="仿宋" w:hAnsi="仿宋" w:eastAsia="仿宋"/>
          <w:sz w:val="32"/>
          <w:szCs w:val="32"/>
        </w:rPr>
      </w:pPr>
    </w:p>
    <w:p w14:paraId="777F5CCA">
      <w:pPr>
        <w:ind w:firstLine="630"/>
        <w:jc w:val="left"/>
        <w:rPr>
          <w:rFonts w:hint="eastAsia" w:ascii="黑体" w:hAnsi="黑体" w:eastAsia="黑体"/>
          <w:sz w:val="32"/>
          <w:szCs w:val="32"/>
        </w:rPr>
      </w:pPr>
      <w:r>
        <w:rPr>
          <w:rFonts w:hint="eastAsia" w:ascii="黑体" w:hAnsi="黑体" w:eastAsia="黑体"/>
          <w:sz w:val="32"/>
          <w:szCs w:val="32"/>
        </w:rPr>
        <w:t>一、收入决算情况说明</w:t>
      </w:r>
    </w:p>
    <w:p w14:paraId="322758F5">
      <w:pPr>
        <w:ind w:firstLine="640" w:firstLineChars="200"/>
        <w:jc w:val="left"/>
        <w:rPr>
          <w:rFonts w:hint="default" w:ascii="仿宋" w:hAnsi="仿宋" w:eastAsia="仿宋"/>
          <w:sz w:val="32"/>
          <w:szCs w:val="32"/>
          <w:lang w:val="en-US" w:eastAsia="zh-CN"/>
        </w:rPr>
      </w:pPr>
      <w:r>
        <w:rPr>
          <w:rFonts w:hint="eastAsia" w:ascii="仿宋" w:hAnsi="仿宋" w:eastAsia="仿宋"/>
          <w:sz w:val="32"/>
          <w:szCs w:val="32"/>
        </w:rPr>
        <w:t>本</w:t>
      </w:r>
      <w:r>
        <w:rPr>
          <w:rFonts w:hint="eastAsia" w:ascii="仿宋" w:hAnsi="仿宋" w:eastAsia="仿宋"/>
          <w:sz w:val="32"/>
          <w:szCs w:val="32"/>
          <w:lang w:val="en-US" w:eastAsia="zh-CN"/>
        </w:rPr>
        <w:t>单位</w:t>
      </w:r>
      <w:r>
        <w:rPr>
          <w:rFonts w:hint="eastAsia" w:ascii="仿宋" w:hAnsi="仿宋" w:eastAsia="仿宋"/>
          <w:sz w:val="32"/>
          <w:szCs w:val="32"/>
          <w:lang w:eastAsia="zh-CN"/>
        </w:rPr>
        <w:t>2022</w:t>
      </w:r>
      <w:r>
        <w:rPr>
          <w:rFonts w:hint="eastAsia" w:ascii="仿宋" w:hAnsi="仿宋" w:eastAsia="仿宋"/>
          <w:sz w:val="32"/>
          <w:szCs w:val="32"/>
        </w:rPr>
        <w:t>年度收入总计</w:t>
      </w:r>
      <w:r>
        <w:rPr>
          <w:rFonts w:hint="eastAsia" w:ascii="仿宋" w:hAnsi="仿宋" w:eastAsia="仿宋"/>
          <w:sz w:val="32"/>
          <w:szCs w:val="32"/>
          <w:lang w:val="en-US" w:eastAsia="zh-CN"/>
        </w:rPr>
        <w:t>5483.31</w:t>
      </w:r>
      <w:r>
        <w:rPr>
          <w:rFonts w:hint="eastAsia" w:ascii="仿宋" w:hAnsi="仿宋" w:eastAsia="仿宋"/>
          <w:sz w:val="32"/>
          <w:szCs w:val="32"/>
        </w:rPr>
        <w:t>万元，</w:t>
      </w:r>
      <w:r>
        <w:rPr>
          <w:rFonts w:hint="eastAsia" w:ascii="仿宋_GB2312" w:hAnsi="仿宋_GB2312" w:eastAsia="仿宋_GB2312"/>
          <w:color w:val="auto"/>
          <w:sz w:val="32"/>
          <w:szCs w:val="32"/>
        </w:rPr>
        <w:t>较20</w:t>
      </w:r>
      <w:r>
        <w:rPr>
          <w:rFonts w:hint="eastAsia" w:ascii="仿宋_GB2312" w:hAnsi="仿宋_GB2312" w:eastAsia="仿宋_GB2312"/>
          <w:color w:val="auto"/>
          <w:sz w:val="32"/>
          <w:szCs w:val="32"/>
          <w:lang w:val="en-US" w:eastAsia="zh-CN"/>
        </w:rPr>
        <w:t>21</w:t>
      </w:r>
      <w:r>
        <w:rPr>
          <w:rFonts w:hint="eastAsia" w:ascii="仿宋_GB2312" w:hAnsi="仿宋_GB2312" w:eastAsia="仿宋_GB2312"/>
          <w:color w:val="auto"/>
          <w:sz w:val="32"/>
          <w:szCs w:val="32"/>
        </w:rPr>
        <w:t>年增加</w:t>
      </w:r>
      <w:r>
        <w:rPr>
          <w:rFonts w:hint="eastAsia" w:ascii="仿宋_GB2312" w:hAnsi="仿宋_GB2312" w:eastAsia="仿宋_GB2312"/>
          <w:color w:val="auto"/>
          <w:sz w:val="32"/>
          <w:szCs w:val="32"/>
          <w:lang w:val="en-US" w:eastAsia="zh-CN"/>
        </w:rPr>
        <w:t>3306.25</w:t>
      </w:r>
      <w:r>
        <w:rPr>
          <w:rFonts w:hint="eastAsia" w:ascii="仿宋_GB2312" w:hAnsi="仿宋_GB2312" w:eastAsia="仿宋_GB2312"/>
          <w:color w:val="auto"/>
          <w:sz w:val="32"/>
          <w:szCs w:val="32"/>
        </w:rPr>
        <w:t>万元</w:t>
      </w:r>
      <w:r>
        <w:rPr>
          <w:rFonts w:hint="eastAsia" w:ascii="仿宋_GB2312" w:hAnsi="仿宋_GB2312" w:eastAsia="仿宋_GB2312"/>
          <w:color w:val="auto"/>
          <w:sz w:val="32"/>
          <w:szCs w:val="32"/>
          <w:lang w:eastAsia="zh-CN"/>
        </w:rPr>
        <w:t>。</w:t>
      </w:r>
      <w:r>
        <w:rPr>
          <w:rFonts w:hint="eastAsia" w:ascii="仿宋" w:hAnsi="仿宋" w:eastAsia="仿宋"/>
          <w:sz w:val="32"/>
          <w:szCs w:val="32"/>
        </w:rPr>
        <w:t>其中年初结转和结余</w:t>
      </w:r>
      <w:r>
        <w:rPr>
          <w:rFonts w:hint="eastAsia" w:ascii="仿宋" w:hAnsi="仿宋" w:eastAsia="仿宋"/>
          <w:sz w:val="32"/>
          <w:szCs w:val="32"/>
          <w:lang w:val="en-US" w:eastAsia="zh-CN"/>
        </w:rPr>
        <w:t>69.79</w:t>
      </w:r>
      <w:r>
        <w:rPr>
          <w:rFonts w:hint="eastAsia" w:ascii="仿宋" w:hAnsi="仿宋" w:eastAsia="仿宋"/>
          <w:sz w:val="32"/>
          <w:szCs w:val="32"/>
        </w:rPr>
        <w:t>万元，较</w:t>
      </w:r>
      <w:r>
        <w:rPr>
          <w:rFonts w:hint="eastAsia" w:ascii="仿宋" w:hAnsi="仿宋" w:eastAsia="仿宋"/>
          <w:sz w:val="32"/>
          <w:szCs w:val="32"/>
          <w:lang w:eastAsia="zh-CN"/>
        </w:rPr>
        <w:t>2021</w:t>
      </w:r>
      <w:r>
        <w:rPr>
          <w:rFonts w:hint="eastAsia" w:ascii="仿宋" w:hAnsi="仿宋" w:eastAsia="仿宋"/>
          <w:sz w:val="32"/>
          <w:szCs w:val="32"/>
        </w:rPr>
        <w:t>年</w:t>
      </w:r>
      <w:r>
        <w:rPr>
          <w:rFonts w:hint="eastAsia" w:ascii="仿宋" w:hAnsi="仿宋" w:eastAsia="仿宋"/>
          <w:sz w:val="32"/>
          <w:szCs w:val="32"/>
          <w:lang w:val="en-US" w:eastAsia="zh-CN"/>
        </w:rPr>
        <w:t>减少1686.03</w:t>
      </w:r>
      <w:r>
        <w:rPr>
          <w:rFonts w:hint="eastAsia" w:ascii="仿宋" w:hAnsi="仿宋" w:eastAsia="仿宋"/>
          <w:sz w:val="32"/>
          <w:szCs w:val="32"/>
        </w:rPr>
        <w:t>万元，</w:t>
      </w:r>
      <w:r>
        <w:rPr>
          <w:rFonts w:hint="eastAsia" w:ascii="仿宋" w:hAnsi="仿宋" w:eastAsia="仿宋"/>
          <w:sz w:val="32"/>
          <w:szCs w:val="32"/>
          <w:lang w:val="en-US" w:eastAsia="zh-CN"/>
        </w:rPr>
        <w:t>下降96.1</w:t>
      </w:r>
      <w:r>
        <w:rPr>
          <w:rFonts w:hint="eastAsia" w:ascii="仿宋" w:hAnsi="仿宋" w:eastAsia="仿宋"/>
          <w:sz w:val="32"/>
          <w:szCs w:val="32"/>
        </w:rPr>
        <w:t>%；本年收入合计</w:t>
      </w:r>
      <w:r>
        <w:rPr>
          <w:rFonts w:hint="eastAsia" w:ascii="仿宋" w:hAnsi="仿宋" w:eastAsia="仿宋"/>
          <w:sz w:val="32"/>
          <w:szCs w:val="32"/>
          <w:lang w:val="en-US" w:eastAsia="zh-CN"/>
        </w:rPr>
        <w:t>5413.52</w:t>
      </w:r>
      <w:r>
        <w:rPr>
          <w:rFonts w:hint="eastAsia" w:ascii="仿宋" w:hAnsi="仿宋" w:eastAsia="仿宋"/>
          <w:sz w:val="32"/>
          <w:szCs w:val="32"/>
        </w:rPr>
        <w:t>万元，较</w:t>
      </w:r>
      <w:r>
        <w:rPr>
          <w:rFonts w:hint="eastAsia" w:ascii="仿宋" w:hAnsi="仿宋" w:eastAsia="仿宋"/>
          <w:sz w:val="32"/>
          <w:szCs w:val="32"/>
          <w:lang w:eastAsia="zh-CN"/>
        </w:rPr>
        <w:t>2021</w:t>
      </w:r>
      <w:r>
        <w:rPr>
          <w:rFonts w:hint="eastAsia" w:ascii="仿宋" w:hAnsi="仿宋" w:eastAsia="仿宋"/>
          <w:sz w:val="32"/>
          <w:szCs w:val="32"/>
        </w:rPr>
        <w:t>年</w:t>
      </w:r>
      <w:r>
        <w:rPr>
          <w:rFonts w:hint="eastAsia" w:ascii="仿宋" w:hAnsi="仿宋" w:eastAsia="仿宋"/>
          <w:sz w:val="32"/>
          <w:szCs w:val="32"/>
          <w:lang w:val="en-US" w:eastAsia="zh-CN"/>
        </w:rPr>
        <w:t>增加4992.27</w:t>
      </w:r>
      <w:r>
        <w:rPr>
          <w:rFonts w:hint="eastAsia" w:ascii="仿宋" w:hAnsi="仿宋" w:eastAsia="仿宋"/>
          <w:sz w:val="32"/>
          <w:szCs w:val="32"/>
        </w:rPr>
        <w:t>万元，</w:t>
      </w:r>
      <w:r>
        <w:rPr>
          <w:rFonts w:hint="eastAsia" w:ascii="仿宋" w:hAnsi="仿宋" w:eastAsia="仿宋"/>
          <w:sz w:val="32"/>
          <w:szCs w:val="32"/>
          <w:lang w:val="en-US" w:eastAsia="zh-CN"/>
        </w:rPr>
        <w:t>增长1185.1</w:t>
      </w:r>
      <w:r>
        <w:rPr>
          <w:rFonts w:hint="eastAsia" w:ascii="仿宋" w:hAnsi="仿宋" w:eastAsia="仿宋"/>
          <w:sz w:val="32"/>
          <w:szCs w:val="32"/>
        </w:rPr>
        <w:t>%，主要原因是：</w:t>
      </w:r>
      <w:r>
        <w:rPr>
          <w:rFonts w:hint="eastAsia" w:ascii="仿宋" w:hAnsi="仿宋" w:eastAsia="仿宋"/>
          <w:sz w:val="32"/>
          <w:szCs w:val="32"/>
          <w:lang w:val="en-US" w:eastAsia="zh-CN"/>
        </w:rPr>
        <w:t>新增瓷都烈士陵园综合改造项目收入及省级项目资金。</w:t>
      </w:r>
    </w:p>
    <w:p w14:paraId="4BFD6D06">
      <w:pPr>
        <w:ind w:firstLine="630"/>
        <w:jc w:val="left"/>
        <w:rPr>
          <w:rFonts w:hint="eastAsia" w:ascii="仿宋" w:hAnsi="仿宋" w:eastAsia="仿宋"/>
          <w:sz w:val="32"/>
          <w:szCs w:val="32"/>
        </w:rPr>
      </w:pPr>
      <w:r>
        <w:rPr>
          <w:rFonts w:hint="eastAsia" w:ascii="仿宋" w:hAnsi="仿宋" w:eastAsia="仿宋"/>
          <w:sz w:val="32"/>
          <w:szCs w:val="32"/>
        </w:rPr>
        <w:t>本年收入的具体构成为：财政拨款收入</w:t>
      </w:r>
      <w:r>
        <w:rPr>
          <w:rFonts w:hint="eastAsia" w:ascii="仿宋" w:hAnsi="仿宋" w:eastAsia="仿宋"/>
          <w:sz w:val="32"/>
          <w:szCs w:val="32"/>
          <w:lang w:val="en-US" w:eastAsia="zh-CN"/>
        </w:rPr>
        <w:t>5404.26</w:t>
      </w:r>
      <w:r>
        <w:rPr>
          <w:rFonts w:hint="eastAsia" w:ascii="仿宋" w:hAnsi="仿宋" w:eastAsia="仿宋"/>
          <w:sz w:val="32"/>
          <w:szCs w:val="32"/>
        </w:rPr>
        <w:t>万元，占</w:t>
      </w:r>
      <w:r>
        <w:rPr>
          <w:rFonts w:hint="eastAsia" w:ascii="仿宋" w:hAnsi="仿宋" w:eastAsia="仿宋"/>
          <w:sz w:val="32"/>
          <w:szCs w:val="32"/>
          <w:lang w:val="en-US" w:eastAsia="zh-CN"/>
        </w:rPr>
        <w:t>99.8</w:t>
      </w:r>
      <w:r>
        <w:rPr>
          <w:rFonts w:hint="eastAsia" w:ascii="仿宋" w:hAnsi="仿宋" w:eastAsia="仿宋"/>
          <w:sz w:val="32"/>
          <w:szCs w:val="32"/>
        </w:rPr>
        <w:t>%；事业收入</w:t>
      </w:r>
      <w:r>
        <w:rPr>
          <w:rFonts w:hint="eastAsia" w:ascii="仿宋" w:hAnsi="仿宋" w:eastAsia="仿宋"/>
          <w:sz w:val="32"/>
          <w:szCs w:val="32"/>
          <w:lang w:val="en-US" w:eastAsia="zh-CN"/>
        </w:rPr>
        <w:t>0万</w:t>
      </w:r>
      <w:r>
        <w:rPr>
          <w:rFonts w:hint="eastAsia" w:ascii="仿宋" w:hAnsi="仿宋" w:eastAsia="仿宋"/>
          <w:sz w:val="32"/>
          <w:szCs w:val="32"/>
        </w:rPr>
        <w:t>元，占</w:t>
      </w:r>
      <w:r>
        <w:rPr>
          <w:rFonts w:hint="eastAsia" w:ascii="仿宋" w:hAnsi="仿宋" w:eastAsia="仿宋"/>
          <w:sz w:val="32"/>
          <w:szCs w:val="32"/>
          <w:lang w:val="en-US" w:eastAsia="zh-CN"/>
        </w:rPr>
        <w:t>0</w:t>
      </w:r>
      <w:r>
        <w:rPr>
          <w:rFonts w:hint="eastAsia" w:ascii="仿宋" w:hAnsi="仿宋" w:eastAsia="仿宋"/>
          <w:sz w:val="32"/>
          <w:szCs w:val="32"/>
        </w:rPr>
        <w:t>%；经营收入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%；其他收入</w:t>
      </w:r>
      <w:r>
        <w:rPr>
          <w:rFonts w:hint="eastAsia" w:ascii="仿宋" w:hAnsi="仿宋" w:eastAsia="仿宋"/>
          <w:sz w:val="32"/>
          <w:szCs w:val="32"/>
          <w:lang w:val="en-US" w:eastAsia="zh-CN"/>
        </w:rPr>
        <w:t>9.26</w:t>
      </w:r>
      <w:r>
        <w:rPr>
          <w:rFonts w:hint="eastAsia" w:ascii="仿宋" w:hAnsi="仿宋" w:eastAsia="仿宋"/>
          <w:sz w:val="32"/>
          <w:szCs w:val="32"/>
        </w:rPr>
        <w:t>万元，占</w:t>
      </w:r>
      <w:r>
        <w:rPr>
          <w:rFonts w:hint="eastAsia" w:ascii="仿宋" w:hAnsi="仿宋" w:eastAsia="仿宋"/>
          <w:sz w:val="32"/>
          <w:szCs w:val="32"/>
          <w:lang w:val="en-US" w:eastAsia="zh-CN"/>
        </w:rPr>
        <w:t>0.2</w:t>
      </w:r>
      <w:r>
        <w:rPr>
          <w:rFonts w:hint="eastAsia" w:ascii="仿宋" w:hAnsi="仿宋" w:eastAsia="仿宋"/>
          <w:sz w:val="32"/>
          <w:szCs w:val="32"/>
        </w:rPr>
        <w:t xml:space="preserve">%。  </w:t>
      </w:r>
    </w:p>
    <w:p w14:paraId="200E8902">
      <w:pPr>
        <w:ind w:firstLine="630"/>
        <w:jc w:val="left"/>
        <w:rPr>
          <w:rFonts w:hint="eastAsia" w:ascii="黑体" w:hAnsi="黑体" w:eastAsia="黑体"/>
          <w:sz w:val="32"/>
          <w:szCs w:val="32"/>
        </w:rPr>
      </w:pPr>
      <w:r>
        <w:rPr>
          <w:rFonts w:hint="eastAsia" w:ascii="黑体" w:hAnsi="黑体" w:eastAsia="黑体"/>
          <w:sz w:val="32"/>
          <w:szCs w:val="32"/>
        </w:rPr>
        <w:t>二、支出决算情况说明</w:t>
      </w:r>
    </w:p>
    <w:p w14:paraId="3123C6C6">
      <w:pPr>
        <w:ind w:firstLine="630"/>
        <w:jc w:val="left"/>
        <w:rPr>
          <w:rFonts w:hint="eastAsia" w:ascii="仿宋" w:hAnsi="仿宋" w:eastAsia="仿宋"/>
          <w:sz w:val="32"/>
          <w:szCs w:val="32"/>
        </w:rPr>
      </w:pPr>
      <w:r>
        <w:rPr>
          <w:rFonts w:hint="eastAsia" w:ascii="仿宋" w:hAnsi="仿宋" w:eastAsia="仿宋"/>
          <w:sz w:val="32"/>
          <w:szCs w:val="32"/>
        </w:rPr>
        <w:t>本</w:t>
      </w:r>
      <w:r>
        <w:rPr>
          <w:rFonts w:hint="eastAsia" w:ascii="仿宋" w:hAnsi="仿宋" w:eastAsia="仿宋"/>
          <w:sz w:val="32"/>
          <w:szCs w:val="32"/>
          <w:lang w:val="en-US" w:eastAsia="zh-CN"/>
        </w:rPr>
        <w:t>单位</w:t>
      </w:r>
      <w:r>
        <w:rPr>
          <w:rFonts w:hint="eastAsia" w:ascii="仿宋" w:hAnsi="仿宋" w:eastAsia="仿宋"/>
          <w:sz w:val="32"/>
          <w:szCs w:val="32"/>
          <w:lang w:eastAsia="zh-CN"/>
        </w:rPr>
        <w:t>2022</w:t>
      </w:r>
      <w:r>
        <w:rPr>
          <w:rFonts w:hint="eastAsia" w:ascii="仿宋" w:hAnsi="仿宋" w:eastAsia="仿宋"/>
          <w:sz w:val="32"/>
          <w:szCs w:val="32"/>
        </w:rPr>
        <w:t>年度支出总计</w:t>
      </w:r>
      <w:r>
        <w:rPr>
          <w:rFonts w:hint="eastAsia" w:ascii="仿宋" w:hAnsi="仿宋" w:eastAsia="仿宋"/>
          <w:sz w:val="32"/>
          <w:szCs w:val="32"/>
          <w:lang w:val="en-US" w:eastAsia="zh-CN"/>
        </w:rPr>
        <w:t>5483.31</w:t>
      </w:r>
      <w:r>
        <w:rPr>
          <w:rFonts w:hint="eastAsia" w:ascii="仿宋" w:hAnsi="仿宋" w:eastAsia="仿宋"/>
          <w:sz w:val="32"/>
          <w:szCs w:val="32"/>
        </w:rPr>
        <w:t>元，</w:t>
      </w:r>
      <w:r>
        <w:rPr>
          <w:rFonts w:hint="eastAsia" w:ascii="仿宋_GB2312" w:hAnsi="仿宋_GB2312" w:eastAsia="仿宋_GB2312"/>
          <w:color w:val="auto"/>
          <w:sz w:val="32"/>
          <w:szCs w:val="32"/>
        </w:rPr>
        <w:t>较20</w:t>
      </w:r>
      <w:r>
        <w:rPr>
          <w:rFonts w:hint="eastAsia" w:ascii="仿宋_GB2312" w:hAnsi="仿宋_GB2312" w:eastAsia="仿宋_GB2312"/>
          <w:color w:val="auto"/>
          <w:sz w:val="32"/>
          <w:szCs w:val="32"/>
          <w:lang w:val="en-US" w:eastAsia="zh-CN"/>
        </w:rPr>
        <w:t>21</w:t>
      </w:r>
      <w:r>
        <w:rPr>
          <w:rFonts w:hint="eastAsia" w:ascii="仿宋_GB2312" w:hAnsi="仿宋_GB2312" w:eastAsia="仿宋_GB2312"/>
          <w:color w:val="auto"/>
          <w:sz w:val="32"/>
          <w:szCs w:val="32"/>
        </w:rPr>
        <w:t>年增加</w:t>
      </w:r>
      <w:r>
        <w:rPr>
          <w:rFonts w:hint="eastAsia" w:ascii="仿宋_GB2312" w:hAnsi="仿宋_GB2312" w:eastAsia="仿宋_GB2312"/>
          <w:color w:val="auto"/>
          <w:sz w:val="32"/>
          <w:szCs w:val="32"/>
          <w:lang w:val="en-US" w:eastAsia="zh-CN"/>
        </w:rPr>
        <w:t>3306.25</w:t>
      </w:r>
      <w:r>
        <w:rPr>
          <w:rFonts w:hint="eastAsia" w:ascii="仿宋_GB2312" w:hAnsi="仿宋_GB2312" w:eastAsia="仿宋_GB2312"/>
          <w:color w:val="auto"/>
          <w:sz w:val="32"/>
          <w:szCs w:val="32"/>
        </w:rPr>
        <w:t>万元</w:t>
      </w:r>
      <w:r>
        <w:rPr>
          <w:rFonts w:hint="eastAsia" w:ascii="仿宋_GB2312" w:hAnsi="仿宋_GB2312" w:eastAsia="仿宋_GB2312"/>
          <w:color w:val="auto"/>
          <w:sz w:val="32"/>
          <w:szCs w:val="32"/>
          <w:lang w:eastAsia="zh-CN"/>
        </w:rPr>
        <w:t>。</w:t>
      </w:r>
      <w:r>
        <w:rPr>
          <w:rFonts w:hint="eastAsia" w:ascii="仿宋" w:hAnsi="仿宋" w:eastAsia="仿宋"/>
          <w:sz w:val="32"/>
          <w:szCs w:val="32"/>
        </w:rPr>
        <w:t>其中本年支出合计</w:t>
      </w:r>
      <w:r>
        <w:rPr>
          <w:rFonts w:hint="eastAsia" w:ascii="仿宋" w:hAnsi="仿宋" w:eastAsia="仿宋"/>
          <w:sz w:val="32"/>
          <w:szCs w:val="32"/>
          <w:lang w:val="en-US" w:eastAsia="zh-CN"/>
        </w:rPr>
        <w:t>5404.78</w:t>
      </w:r>
      <w:r>
        <w:rPr>
          <w:rFonts w:hint="eastAsia" w:ascii="仿宋" w:hAnsi="仿宋" w:eastAsia="仿宋"/>
          <w:sz w:val="32"/>
          <w:szCs w:val="32"/>
        </w:rPr>
        <w:t>万元，较</w:t>
      </w:r>
      <w:r>
        <w:rPr>
          <w:rFonts w:hint="eastAsia" w:ascii="仿宋" w:hAnsi="仿宋" w:eastAsia="仿宋"/>
          <w:sz w:val="32"/>
          <w:szCs w:val="32"/>
          <w:lang w:eastAsia="zh-CN"/>
        </w:rPr>
        <w:t>2021</w:t>
      </w:r>
      <w:r>
        <w:rPr>
          <w:rFonts w:hint="eastAsia" w:ascii="仿宋" w:hAnsi="仿宋" w:eastAsia="仿宋"/>
          <w:sz w:val="32"/>
          <w:szCs w:val="32"/>
        </w:rPr>
        <w:t>年</w:t>
      </w:r>
      <w:r>
        <w:rPr>
          <w:rFonts w:hint="eastAsia" w:ascii="仿宋" w:hAnsi="仿宋" w:eastAsia="仿宋"/>
          <w:sz w:val="32"/>
          <w:szCs w:val="32"/>
          <w:lang w:val="en-US" w:eastAsia="zh-CN"/>
        </w:rPr>
        <w:t>增加3297.52</w:t>
      </w:r>
      <w:r>
        <w:rPr>
          <w:rFonts w:hint="eastAsia" w:ascii="仿宋" w:hAnsi="仿宋" w:eastAsia="仿宋"/>
          <w:sz w:val="32"/>
          <w:szCs w:val="32"/>
        </w:rPr>
        <w:t>万元，</w:t>
      </w:r>
      <w:r>
        <w:rPr>
          <w:rFonts w:hint="eastAsia" w:ascii="仿宋" w:hAnsi="仿宋" w:eastAsia="仿宋"/>
          <w:sz w:val="32"/>
          <w:szCs w:val="32"/>
          <w:lang w:val="en-US" w:eastAsia="zh-CN"/>
        </w:rPr>
        <w:t>增长156.5</w:t>
      </w:r>
      <w:r>
        <w:rPr>
          <w:rFonts w:hint="eastAsia" w:ascii="仿宋" w:hAnsi="仿宋" w:eastAsia="仿宋"/>
          <w:sz w:val="32"/>
          <w:szCs w:val="32"/>
        </w:rPr>
        <w:t>%，主要原因是：</w:t>
      </w:r>
      <w:r>
        <w:rPr>
          <w:rFonts w:hint="eastAsia" w:ascii="仿宋" w:hAnsi="仿宋" w:eastAsia="仿宋"/>
          <w:sz w:val="32"/>
          <w:szCs w:val="32"/>
          <w:lang w:val="en-US" w:eastAsia="zh-CN"/>
        </w:rPr>
        <w:t>新增瓷都烈士陵园综合改造项目支出。</w:t>
      </w:r>
      <w:r>
        <w:rPr>
          <w:rFonts w:hint="eastAsia" w:ascii="仿宋" w:hAnsi="仿宋" w:eastAsia="仿宋"/>
          <w:sz w:val="32"/>
          <w:szCs w:val="32"/>
        </w:rPr>
        <w:t>年末结转和结余</w:t>
      </w:r>
      <w:r>
        <w:rPr>
          <w:rFonts w:hint="eastAsia" w:ascii="仿宋" w:hAnsi="仿宋" w:eastAsia="仿宋"/>
          <w:sz w:val="32"/>
          <w:szCs w:val="32"/>
          <w:lang w:val="en-US" w:eastAsia="zh-CN"/>
        </w:rPr>
        <w:t>78.53</w:t>
      </w:r>
      <w:r>
        <w:rPr>
          <w:rFonts w:hint="eastAsia" w:ascii="仿宋" w:hAnsi="仿宋" w:eastAsia="仿宋"/>
          <w:sz w:val="32"/>
          <w:szCs w:val="32"/>
        </w:rPr>
        <w:t>万元，较</w:t>
      </w:r>
      <w:r>
        <w:rPr>
          <w:rFonts w:hint="eastAsia" w:ascii="仿宋" w:hAnsi="仿宋" w:eastAsia="仿宋"/>
          <w:sz w:val="32"/>
          <w:szCs w:val="32"/>
          <w:lang w:eastAsia="zh-CN"/>
        </w:rPr>
        <w:t>2021</w:t>
      </w:r>
      <w:r>
        <w:rPr>
          <w:rFonts w:hint="eastAsia" w:ascii="仿宋" w:hAnsi="仿宋" w:eastAsia="仿宋"/>
          <w:sz w:val="32"/>
          <w:szCs w:val="32"/>
        </w:rPr>
        <w:t>年</w:t>
      </w:r>
      <w:r>
        <w:rPr>
          <w:rFonts w:hint="eastAsia" w:ascii="仿宋" w:hAnsi="仿宋" w:eastAsia="仿宋"/>
          <w:sz w:val="32"/>
          <w:szCs w:val="32"/>
          <w:lang w:val="en-US" w:eastAsia="zh-CN"/>
        </w:rPr>
        <w:t>增加8.73</w:t>
      </w:r>
      <w:r>
        <w:rPr>
          <w:rFonts w:hint="eastAsia" w:ascii="仿宋" w:hAnsi="仿宋" w:eastAsia="仿宋"/>
          <w:sz w:val="32"/>
          <w:szCs w:val="32"/>
        </w:rPr>
        <w:t>万元，</w:t>
      </w:r>
      <w:r>
        <w:rPr>
          <w:rFonts w:hint="eastAsia" w:ascii="仿宋" w:hAnsi="仿宋" w:eastAsia="仿宋"/>
          <w:sz w:val="32"/>
          <w:szCs w:val="32"/>
          <w:lang w:val="en-US" w:eastAsia="zh-CN"/>
        </w:rPr>
        <w:t>增加8.7</w:t>
      </w:r>
      <w:r>
        <w:rPr>
          <w:rFonts w:hint="eastAsia" w:ascii="仿宋" w:hAnsi="仿宋" w:eastAsia="仿宋"/>
          <w:sz w:val="32"/>
          <w:szCs w:val="32"/>
        </w:rPr>
        <w:t>%，主要原因是：</w:t>
      </w:r>
      <w:r>
        <w:rPr>
          <w:rFonts w:hint="eastAsia" w:ascii="仿宋" w:hAnsi="仿宋" w:eastAsia="仿宋"/>
          <w:sz w:val="32"/>
          <w:szCs w:val="32"/>
          <w:lang w:val="en-US" w:eastAsia="zh-CN"/>
        </w:rPr>
        <w:t>省厅划拨经费支出结余增加</w:t>
      </w:r>
      <w:r>
        <w:rPr>
          <w:rFonts w:hint="eastAsia" w:ascii="仿宋" w:hAnsi="仿宋" w:eastAsia="仿宋"/>
          <w:sz w:val="32"/>
          <w:szCs w:val="32"/>
        </w:rPr>
        <w:t>。</w:t>
      </w:r>
    </w:p>
    <w:p w14:paraId="0BEC9AFC">
      <w:pPr>
        <w:ind w:firstLine="630"/>
        <w:jc w:val="left"/>
        <w:rPr>
          <w:rFonts w:hint="eastAsia" w:ascii="仿宋" w:hAnsi="仿宋" w:eastAsia="仿宋"/>
          <w:sz w:val="32"/>
          <w:szCs w:val="32"/>
        </w:rPr>
      </w:pPr>
      <w:r>
        <w:rPr>
          <w:rFonts w:hint="eastAsia" w:ascii="仿宋" w:hAnsi="仿宋" w:eastAsia="仿宋"/>
          <w:sz w:val="32"/>
          <w:szCs w:val="32"/>
        </w:rPr>
        <w:t>本年支出的具体构成为：基本支出</w:t>
      </w:r>
      <w:r>
        <w:rPr>
          <w:rFonts w:hint="eastAsia" w:ascii="仿宋" w:hAnsi="仿宋" w:eastAsia="仿宋"/>
          <w:sz w:val="32"/>
          <w:szCs w:val="32"/>
          <w:lang w:val="en-US" w:eastAsia="zh-CN"/>
        </w:rPr>
        <w:t>275.11</w:t>
      </w:r>
      <w:r>
        <w:rPr>
          <w:rFonts w:hint="eastAsia" w:ascii="仿宋" w:hAnsi="仿宋" w:eastAsia="仿宋"/>
          <w:sz w:val="32"/>
          <w:szCs w:val="32"/>
        </w:rPr>
        <w:t>万元，占</w:t>
      </w:r>
      <w:r>
        <w:rPr>
          <w:rFonts w:hint="eastAsia" w:ascii="仿宋" w:hAnsi="仿宋" w:eastAsia="仿宋"/>
          <w:sz w:val="32"/>
          <w:szCs w:val="32"/>
          <w:lang w:val="en-US" w:eastAsia="zh-CN"/>
        </w:rPr>
        <w:t>5.1</w:t>
      </w:r>
      <w:r>
        <w:rPr>
          <w:rFonts w:hint="eastAsia" w:ascii="仿宋" w:hAnsi="仿宋" w:eastAsia="仿宋"/>
          <w:sz w:val="32"/>
          <w:szCs w:val="32"/>
        </w:rPr>
        <w:t>%；项目支出</w:t>
      </w:r>
      <w:r>
        <w:rPr>
          <w:rFonts w:hint="eastAsia" w:ascii="仿宋" w:hAnsi="仿宋" w:eastAsia="仿宋"/>
          <w:sz w:val="32"/>
          <w:szCs w:val="32"/>
          <w:lang w:val="en-US" w:eastAsia="zh-CN"/>
        </w:rPr>
        <w:t>5129.67</w:t>
      </w:r>
      <w:r>
        <w:rPr>
          <w:rFonts w:hint="eastAsia" w:ascii="仿宋" w:hAnsi="仿宋" w:eastAsia="仿宋"/>
          <w:sz w:val="32"/>
          <w:szCs w:val="32"/>
        </w:rPr>
        <w:t>万元，占</w:t>
      </w:r>
      <w:r>
        <w:rPr>
          <w:rFonts w:hint="eastAsia" w:ascii="仿宋" w:hAnsi="仿宋" w:eastAsia="仿宋"/>
          <w:sz w:val="32"/>
          <w:szCs w:val="32"/>
          <w:lang w:val="en-US" w:eastAsia="zh-CN"/>
        </w:rPr>
        <w:t>94.95</w:t>
      </w:r>
      <w:r>
        <w:rPr>
          <w:rFonts w:hint="eastAsia" w:ascii="仿宋" w:hAnsi="仿宋" w:eastAsia="仿宋"/>
          <w:sz w:val="32"/>
          <w:szCs w:val="32"/>
        </w:rPr>
        <w:t>%；经营支出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%；其他支出（对附属单位补助支出、上缴上级支出）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1A891807">
      <w:pPr>
        <w:ind w:firstLine="630"/>
        <w:jc w:val="left"/>
        <w:rPr>
          <w:rFonts w:hint="eastAsia" w:ascii="黑体" w:hAnsi="黑体" w:eastAsia="黑体"/>
          <w:sz w:val="32"/>
          <w:szCs w:val="32"/>
        </w:rPr>
      </w:pPr>
      <w:r>
        <w:rPr>
          <w:rFonts w:hint="eastAsia" w:ascii="黑体" w:hAnsi="黑体" w:eastAsia="黑体"/>
          <w:sz w:val="32"/>
          <w:szCs w:val="32"/>
        </w:rPr>
        <w:t>三、财政拨款支出决算情况说明</w:t>
      </w:r>
    </w:p>
    <w:p w14:paraId="7A8D6368">
      <w:pPr>
        <w:ind w:firstLine="630"/>
        <w:jc w:val="left"/>
        <w:rPr>
          <w:rFonts w:hint="eastAsia" w:ascii="仿宋" w:hAnsi="仿宋" w:eastAsia="仿宋"/>
          <w:sz w:val="32"/>
          <w:szCs w:val="32"/>
        </w:rPr>
      </w:pPr>
      <w:r>
        <w:rPr>
          <w:rFonts w:hint="eastAsia" w:ascii="仿宋" w:hAnsi="仿宋" w:eastAsia="仿宋"/>
          <w:sz w:val="32"/>
          <w:szCs w:val="32"/>
        </w:rPr>
        <w:t>本</w:t>
      </w:r>
      <w:r>
        <w:rPr>
          <w:rFonts w:hint="eastAsia" w:ascii="仿宋" w:hAnsi="仿宋" w:eastAsia="仿宋"/>
          <w:sz w:val="32"/>
          <w:szCs w:val="32"/>
          <w:lang w:val="en-US" w:eastAsia="zh-CN"/>
        </w:rPr>
        <w:t>单位</w:t>
      </w:r>
      <w:r>
        <w:rPr>
          <w:rFonts w:hint="eastAsia" w:ascii="仿宋" w:hAnsi="仿宋" w:eastAsia="仿宋"/>
          <w:sz w:val="32"/>
          <w:szCs w:val="32"/>
          <w:lang w:eastAsia="zh-CN"/>
        </w:rPr>
        <w:t>2022</w:t>
      </w:r>
      <w:r>
        <w:rPr>
          <w:rFonts w:hint="eastAsia" w:ascii="仿宋" w:hAnsi="仿宋" w:eastAsia="仿宋"/>
          <w:sz w:val="32"/>
          <w:szCs w:val="32"/>
        </w:rPr>
        <w:t>年度财政拨款本年支出年初预算数为</w:t>
      </w:r>
      <w:r>
        <w:rPr>
          <w:rFonts w:hint="eastAsia" w:ascii="仿宋" w:hAnsi="仿宋" w:eastAsia="仿宋"/>
          <w:sz w:val="32"/>
          <w:szCs w:val="32"/>
          <w:lang w:val="en-US" w:eastAsia="zh-CN"/>
        </w:rPr>
        <w:t>544.86</w:t>
      </w:r>
      <w:r>
        <w:rPr>
          <w:rFonts w:hint="eastAsia" w:ascii="仿宋" w:hAnsi="仿宋" w:eastAsia="仿宋"/>
          <w:sz w:val="32"/>
          <w:szCs w:val="32"/>
        </w:rPr>
        <w:t>万元，决算数为</w:t>
      </w:r>
      <w:r>
        <w:rPr>
          <w:rFonts w:hint="eastAsia" w:ascii="仿宋" w:hAnsi="仿宋" w:eastAsia="仿宋"/>
          <w:sz w:val="32"/>
          <w:szCs w:val="32"/>
          <w:lang w:val="en-US" w:eastAsia="zh-CN"/>
        </w:rPr>
        <w:t>5404.26</w:t>
      </w:r>
      <w:r>
        <w:rPr>
          <w:rFonts w:hint="eastAsia" w:ascii="仿宋" w:hAnsi="仿宋" w:eastAsia="仿宋"/>
          <w:sz w:val="32"/>
          <w:szCs w:val="32"/>
        </w:rPr>
        <w:t>万元，完成年初预算的</w:t>
      </w:r>
      <w:r>
        <w:rPr>
          <w:rFonts w:hint="eastAsia" w:ascii="仿宋" w:hAnsi="仿宋" w:eastAsia="仿宋"/>
          <w:sz w:val="32"/>
          <w:szCs w:val="32"/>
          <w:lang w:val="en-US" w:eastAsia="zh-CN"/>
        </w:rPr>
        <w:t>991.9</w:t>
      </w:r>
      <w:r>
        <w:rPr>
          <w:rFonts w:hint="eastAsia" w:ascii="仿宋" w:hAnsi="仿宋" w:eastAsia="仿宋"/>
          <w:sz w:val="32"/>
          <w:szCs w:val="32"/>
        </w:rPr>
        <w:t>%。其中：</w:t>
      </w:r>
    </w:p>
    <w:p w14:paraId="642D3017">
      <w:pPr>
        <w:ind w:firstLine="630"/>
        <w:jc w:val="left"/>
        <w:rPr>
          <w:rFonts w:hint="eastAsia" w:ascii="仿宋" w:hAnsi="仿宋" w:eastAsia="仿宋"/>
          <w:sz w:val="32"/>
          <w:szCs w:val="32"/>
          <w:lang w:val="en-US"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一</w:t>
      </w:r>
      <w:r>
        <w:rPr>
          <w:rFonts w:hint="eastAsia" w:ascii="仿宋" w:hAnsi="仿宋" w:eastAsia="仿宋"/>
          <w:sz w:val="32"/>
          <w:szCs w:val="32"/>
          <w:lang w:eastAsia="zh-CN"/>
        </w:rPr>
        <w:t>）社会保障和就业支出</w:t>
      </w:r>
      <w:r>
        <w:rPr>
          <w:rFonts w:hint="eastAsia" w:ascii="仿宋" w:hAnsi="仿宋" w:eastAsia="仿宋"/>
          <w:sz w:val="32"/>
          <w:szCs w:val="32"/>
        </w:rPr>
        <w:t>年初预算数为</w:t>
      </w:r>
      <w:r>
        <w:rPr>
          <w:rFonts w:hint="eastAsia" w:ascii="仿宋" w:hAnsi="仿宋" w:eastAsia="仿宋"/>
          <w:sz w:val="32"/>
          <w:szCs w:val="32"/>
          <w:lang w:val="en-US" w:eastAsia="zh-CN"/>
        </w:rPr>
        <w:t>513.95</w:t>
      </w:r>
      <w:r>
        <w:rPr>
          <w:rFonts w:hint="eastAsia" w:ascii="仿宋" w:hAnsi="仿宋" w:eastAsia="仿宋"/>
          <w:sz w:val="32"/>
          <w:szCs w:val="32"/>
        </w:rPr>
        <w:t>万元，决算数为</w:t>
      </w:r>
      <w:r>
        <w:rPr>
          <w:rFonts w:hint="eastAsia" w:ascii="仿宋" w:hAnsi="仿宋" w:eastAsia="仿宋"/>
          <w:sz w:val="32"/>
          <w:szCs w:val="32"/>
          <w:lang w:val="en-US" w:eastAsia="zh-CN"/>
        </w:rPr>
        <w:t>1571.8</w:t>
      </w:r>
      <w:r>
        <w:rPr>
          <w:rFonts w:hint="eastAsia" w:ascii="仿宋" w:hAnsi="仿宋" w:eastAsia="仿宋"/>
          <w:sz w:val="32"/>
          <w:szCs w:val="32"/>
        </w:rPr>
        <w:t>万元，完成年初预算的</w:t>
      </w:r>
      <w:r>
        <w:rPr>
          <w:rFonts w:hint="eastAsia" w:ascii="仿宋" w:hAnsi="仿宋" w:eastAsia="仿宋"/>
          <w:sz w:val="32"/>
          <w:szCs w:val="32"/>
          <w:lang w:val="en-US" w:eastAsia="zh-CN"/>
        </w:rPr>
        <w:t>305.8</w:t>
      </w:r>
      <w:r>
        <w:rPr>
          <w:rFonts w:hint="eastAsia" w:ascii="仿宋" w:hAnsi="仿宋" w:eastAsia="仿宋"/>
          <w:sz w:val="32"/>
          <w:szCs w:val="32"/>
        </w:rPr>
        <w:t>%，主要原因是：</w:t>
      </w:r>
      <w:r>
        <w:rPr>
          <w:rFonts w:hint="eastAsia" w:ascii="仿宋" w:hAnsi="仿宋" w:eastAsia="仿宋"/>
          <w:sz w:val="32"/>
          <w:szCs w:val="32"/>
          <w:lang w:val="en-US" w:eastAsia="zh-CN"/>
        </w:rPr>
        <w:t>追加退役士兵社保接续、部分企业军队退役人员生活补助等专项支出。</w:t>
      </w:r>
    </w:p>
    <w:p w14:paraId="08ACAAD0">
      <w:pPr>
        <w:ind w:firstLine="630"/>
        <w:jc w:val="left"/>
        <w:rPr>
          <w:rFonts w:hint="default" w:ascii="仿宋" w:hAnsi="仿宋" w:eastAsia="仿宋"/>
          <w:sz w:val="32"/>
          <w:szCs w:val="32"/>
          <w:lang w:val="en-US" w:eastAsia="zh-CN"/>
        </w:rPr>
      </w:pPr>
      <w:r>
        <w:rPr>
          <w:rFonts w:hint="eastAsia" w:ascii="仿宋" w:hAnsi="仿宋" w:eastAsia="仿宋"/>
          <w:sz w:val="32"/>
          <w:szCs w:val="32"/>
        </w:rPr>
        <w:t>（</w:t>
      </w:r>
      <w:r>
        <w:rPr>
          <w:rFonts w:hint="eastAsia" w:ascii="仿宋" w:hAnsi="仿宋" w:eastAsia="仿宋"/>
          <w:sz w:val="32"/>
          <w:szCs w:val="32"/>
          <w:lang w:val="en-US" w:eastAsia="zh-CN"/>
        </w:rPr>
        <w:t>二</w:t>
      </w:r>
      <w:r>
        <w:rPr>
          <w:rFonts w:hint="eastAsia" w:ascii="仿宋" w:hAnsi="仿宋" w:eastAsia="仿宋"/>
          <w:sz w:val="32"/>
          <w:szCs w:val="32"/>
        </w:rPr>
        <w:t>）</w:t>
      </w:r>
      <w:r>
        <w:rPr>
          <w:rFonts w:hint="eastAsia" w:ascii="仿宋" w:hAnsi="仿宋" w:eastAsia="仿宋"/>
          <w:sz w:val="32"/>
          <w:szCs w:val="32"/>
          <w:lang w:eastAsia="zh-CN"/>
        </w:rPr>
        <w:t>卫生健康支出</w:t>
      </w:r>
      <w:r>
        <w:rPr>
          <w:rFonts w:hint="eastAsia" w:ascii="仿宋" w:hAnsi="仿宋" w:eastAsia="仿宋"/>
          <w:sz w:val="32"/>
          <w:szCs w:val="32"/>
        </w:rPr>
        <w:t>年初预算数为</w:t>
      </w:r>
      <w:r>
        <w:rPr>
          <w:rFonts w:hint="eastAsia" w:ascii="仿宋" w:hAnsi="仿宋" w:eastAsia="仿宋"/>
          <w:sz w:val="32"/>
          <w:szCs w:val="32"/>
          <w:lang w:val="en-US" w:eastAsia="zh-CN"/>
        </w:rPr>
        <w:t>9.77</w:t>
      </w:r>
      <w:r>
        <w:rPr>
          <w:rFonts w:hint="eastAsia" w:ascii="仿宋" w:hAnsi="仿宋" w:eastAsia="仿宋"/>
          <w:sz w:val="32"/>
          <w:szCs w:val="32"/>
        </w:rPr>
        <w:t>万元，决算数为</w:t>
      </w:r>
      <w:r>
        <w:rPr>
          <w:rFonts w:hint="eastAsia" w:ascii="仿宋" w:hAnsi="仿宋" w:eastAsia="仿宋"/>
          <w:sz w:val="32"/>
          <w:szCs w:val="32"/>
          <w:lang w:val="en-US" w:eastAsia="zh-CN"/>
        </w:rPr>
        <w:t>9.77</w:t>
      </w:r>
      <w:r>
        <w:rPr>
          <w:rFonts w:hint="eastAsia" w:ascii="仿宋" w:hAnsi="仿宋" w:eastAsia="仿宋"/>
          <w:sz w:val="32"/>
          <w:szCs w:val="32"/>
        </w:rPr>
        <w:t>万元，完成年初预算的</w:t>
      </w:r>
      <w:r>
        <w:rPr>
          <w:rFonts w:hint="eastAsia" w:ascii="仿宋" w:hAnsi="仿宋" w:eastAsia="仿宋"/>
          <w:sz w:val="32"/>
          <w:szCs w:val="32"/>
          <w:lang w:val="en-US" w:eastAsia="zh-CN"/>
        </w:rPr>
        <w:t>100</w:t>
      </w:r>
      <w:r>
        <w:rPr>
          <w:rFonts w:hint="eastAsia" w:ascii="仿宋" w:hAnsi="仿宋" w:eastAsia="仿宋"/>
          <w:sz w:val="32"/>
          <w:szCs w:val="32"/>
        </w:rPr>
        <w:t>%</w:t>
      </w:r>
      <w:r>
        <w:rPr>
          <w:rFonts w:hint="eastAsia" w:ascii="仿宋" w:hAnsi="仿宋" w:eastAsia="仿宋"/>
          <w:sz w:val="32"/>
          <w:szCs w:val="32"/>
          <w:lang w:eastAsia="zh-CN"/>
        </w:rPr>
        <w:t>，</w:t>
      </w:r>
      <w:r>
        <w:rPr>
          <w:rFonts w:hint="eastAsia" w:ascii="仿宋" w:hAnsi="仿宋" w:eastAsia="仿宋"/>
          <w:sz w:val="32"/>
          <w:szCs w:val="32"/>
          <w:lang w:val="en-US" w:eastAsia="zh-CN"/>
        </w:rPr>
        <w:t>主要原因是：按预算执行。</w:t>
      </w:r>
    </w:p>
    <w:p w14:paraId="7DB76755">
      <w:pPr>
        <w:ind w:firstLine="630"/>
        <w:jc w:val="left"/>
        <w:rPr>
          <w:rFonts w:hint="eastAsia" w:ascii="仿宋" w:hAnsi="仿宋" w:eastAsia="仿宋"/>
          <w:sz w:val="32"/>
          <w:szCs w:val="32"/>
          <w:lang w:val="en-US" w:eastAsia="zh-CN"/>
        </w:rPr>
      </w:pPr>
      <w:r>
        <w:rPr>
          <w:rFonts w:hint="eastAsia" w:ascii="仿宋" w:hAnsi="仿宋" w:eastAsia="仿宋"/>
          <w:sz w:val="32"/>
          <w:szCs w:val="32"/>
          <w:lang w:val="en-US" w:eastAsia="zh-CN"/>
        </w:rPr>
        <w:t>（三）住房保障支出年初预算数为21.15万元，决算数为21.15万元，完成年初预算的100%，主要原因是：按预算执行。</w:t>
      </w:r>
    </w:p>
    <w:p w14:paraId="2EAB092C">
      <w:pPr>
        <w:pStyle w:val="2"/>
        <w:rPr>
          <w:rFonts w:hint="default"/>
          <w:sz w:val="22"/>
          <w:szCs w:val="22"/>
          <w:lang w:val="en-US" w:eastAsia="zh-CN"/>
        </w:rPr>
      </w:pPr>
      <w:r>
        <w:rPr>
          <w:rFonts w:hint="eastAsia" w:ascii="仿宋" w:hAnsi="仿宋" w:eastAsia="仿宋"/>
          <w:sz w:val="32"/>
          <w:szCs w:val="32"/>
          <w:lang w:val="en-US" w:eastAsia="zh-CN"/>
        </w:rPr>
        <w:t xml:space="preserve">    （四）城乡社区支出年初预算数为0万元，决算数为3801.54万元，主要原因是：新增瓷都烈士陵园综合改造项目。</w:t>
      </w:r>
    </w:p>
    <w:p w14:paraId="6C1C8531">
      <w:pPr>
        <w:ind w:firstLine="585"/>
        <w:jc w:val="left"/>
        <w:rPr>
          <w:rFonts w:hint="eastAsia" w:ascii="黑体" w:hAnsi="黑体" w:eastAsia="黑体"/>
          <w:sz w:val="32"/>
          <w:szCs w:val="32"/>
        </w:rPr>
      </w:pPr>
      <w:r>
        <w:rPr>
          <w:rFonts w:hint="eastAsia" w:ascii="黑体" w:hAnsi="黑体" w:eastAsia="黑体"/>
          <w:sz w:val="32"/>
          <w:szCs w:val="32"/>
        </w:rPr>
        <w:t>四、一般公共预算财政拨款基本支出决算情况说明</w:t>
      </w:r>
    </w:p>
    <w:p w14:paraId="06828AFD">
      <w:pPr>
        <w:ind w:firstLine="585"/>
        <w:jc w:val="left"/>
        <w:rPr>
          <w:rFonts w:hint="eastAsia" w:ascii="仿宋" w:hAnsi="仿宋" w:eastAsia="仿宋"/>
          <w:sz w:val="32"/>
          <w:szCs w:val="32"/>
        </w:rPr>
      </w:pPr>
      <w:r>
        <w:rPr>
          <w:rFonts w:hint="eastAsia" w:ascii="仿宋" w:hAnsi="仿宋" w:eastAsia="仿宋"/>
          <w:sz w:val="32"/>
          <w:szCs w:val="32"/>
        </w:rPr>
        <w:t>本</w:t>
      </w:r>
      <w:r>
        <w:rPr>
          <w:rFonts w:hint="eastAsia" w:ascii="仿宋" w:hAnsi="仿宋" w:eastAsia="仿宋"/>
          <w:sz w:val="32"/>
          <w:szCs w:val="32"/>
          <w:lang w:val="en-US" w:eastAsia="zh-CN"/>
        </w:rPr>
        <w:t>单位</w:t>
      </w:r>
      <w:r>
        <w:rPr>
          <w:rFonts w:hint="eastAsia" w:ascii="仿宋" w:hAnsi="仿宋" w:eastAsia="仿宋"/>
          <w:sz w:val="32"/>
          <w:szCs w:val="32"/>
          <w:lang w:eastAsia="zh-CN"/>
        </w:rPr>
        <w:t>2022</w:t>
      </w:r>
      <w:r>
        <w:rPr>
          <w:rFonts w:hint="eastAsia" w:ascii="仿宋" w:hAnsi="仿宋" w:eastAsia="仿宋"/>
          <w:sz w:val="32"/>
          <w:szCs w:val="32"/>
        </w:rPr>
        <w:t>年度一般公共预算财政拨款基本支出</w:t>
      </w:r>
      <w:r>
        <w:rPr>
          <w:rFonts w:hint="eastAsia" w:ascii="仿宋" w:hAnsi="仿宋" w:eastAsia="仿宋"/>
          <w:sz w:val="32"/>
          <w:szCs w:val="32"/>
          <w:lang w:val="en-US" w:eastAsia="zh-CN"/>
        </w:rPr>
        <w:t>275.11</w:t>
      </w:r>
      <w:r>
        <w:rPr>
          <w:rFonts w:hint="eastAsia" w:ascii="仿宋" w:hAnsi="仿宋" w:eastAsia="仿宋"/>
          <w:sz w:val="32"/>
          <w:szCs w:val="32"/>
        </w:rPr>
        <w:t>万元，其中：</w:t>
      </w:r>
    </w:p>
    <w:p w14:paraId="412813F2">
      <w:pPr>
        <w:numPr>
          <w:ilvl w:val="0"/>
          <w:numId w:val="1"/>
        </w:numPr>
        <w:ind w:firstLine="585"/>
        <w:jc w:val="left"/>
        <w:rPr>
          <w:rFonts w:hint="eastAsia" w:ascii="仿宋" w:hAnsi="仿宋" w:eastAsia="仿宋"/>
          <w:sz w:val="32"/>
          <w:szCs w:val="32"/>
          <w:lang w:val="en-US" w:eastAsia="zh-CN"/>
        </w:rPr>
      </w:pPr>
      <w:r>
        <w:rPr>
          <w:rFonts w:hint="eastAsia" w:ascii="仿宋" w:hAnsi="仿宋" w:eastAsia="仿宋"/>
          <w:sz w:val="32"/>
          <w:szCs w:val="32"/>
        </w:rPr>
        <w:t>工资福利支出</w:t>
      </w:r>
      <w:r>
        <w:rPr>
          <w:rFonts w:hint="eastAsia" w:ascii="仿宋" w:hAnsi="仿宋" w:eastAsia="仿宋"/>
          <w:sz w:val="32"/>
          <w:szCs w:val="32"/>
          <w:lang w:val="en-US" w:eastAsia="zh-CN"/>
        </w:rPr>
        <w:t>238.24</w:t>
      </w:r>
      <w:r>
        <w:rPr>
          <w:rFonts w:hint="eastAsia" w:ascii="仿宋" w:hAnsi="仿宋" w:eastAsia="仿宋"/>
          <w:sz w:val="32"/>
          <w:szCs w:val="32"/>
        </w:rPr>
        <w:t>万元，较</w:t>
      </w:r>
      <w:r>
        <w:rPr>
          <w:rFonts w:hint="eastAsia" w:ascii="仿宋" w:hAnsi="仿宋" w:eastAsia="仿宋"/>
          <w:sz w:val="32"/>
          <w:szCs w:val="32"/>
          <w:lang w:eastAsia="zh-CN"/>
        </w:rPr>
        <w:t>2021</w:t>
      </w:r>
      <w:r>
        <w:rPr>
          <w:rFonts w:hint="eastAsia" w:ascii="仿宋" w:hAnsi="仿宋" w:eastAsia="仿宋"/>
          <w:sz w:val="32"/>
          <w:szCs w:val="32"/>
        </w:rPr>
        <w:t>年</w:t>
      </w:r>
      <w:r>
        <w:rPr>
          <w:rFonts w:hint="eastAsia" w:ascii="仿宋" w:hAnsi="仿宋" w:eastAsia="仿宋"/>
          <w:sz w:val="32"/>
          <w:szCs w:val="32"/>
          <w:lang w:val="en-US" w:eastAsia="zh-CN"/>
        </w:rPr>
        <w:t>减少20.11</w:t>
      </w:r>
      <w:r>
        <w:rPr>
          <w:rFonts w:hint="eastAsia" w:ascii="仿宋" w:hAnsi="仿宋" w:eastAsia="仿宋"/>
          <w:sz w:val="32"/>
          <w:szCs w:val="32"/>
        </w:rPr>
        <w:t>万元，</w:t>
      </w:r>
      <w:r>
        <w:rPr>
          <w:rFonts w:hint="eastAsia" w:ascii="仿宋" w:hAnsi="仿宋" w:eastAsia="仿宋"/>
          <w:sz w:val="32"/>
          <w:szCs w:val="32"/>
          <w:lang w:val="en-US" w:eastAsia="zh-CN"/>
        </w:rPr>
        <w:t>下降7.8</w:t>
      </w:r>
      <w:r>
        <w:rPr>
          <w:rFonts w:hint="eastAsia" w:ascii="仿宋" w:hAnsi="仿宋" w:eastAsia="仿宋"/>
          <w:sz w:val="32"/>
          <w:szCs w:val="32"/>
        </w:rPr>
        <w:t>%，主要原因是：</w:t>
      </w:r>
      <w:r>
        <w:rPr>
          <w:rFonts w:hint="eastAsia" w:ascii="仿宋" w:hAnsi="仿宋" w:eastAsia="仿宋"/>
          <w:sz w:val="32"/>
          <w:szCs w:val="32"/>
          <w:lang w:val="en-US" w:eastAsia="zh-CN"/>
        </w:rPr>
        <w:t>人员变动。</w:t>
      </w:r>
    </w:p>
    <w:p w14:paraId="08A5CDF1">
      <w:pPr>
        <w:ind w:firstLine="585"/>
        <w:jc w:val="both"/>
        <w:rPr>
          <w:rFonts w:hint="eastAsia" w:ascii="仿宋" w:hAnsi="仿宋" w:eastAsia="仿宋"/>
          <w:sz w:val="32"/>
          <w:szCs w:val="32"/>
        </w:rPr>
      </w:pPr>
      <w:r>
        <w:rPr>
          <w:rFonts w:hint="eastAsia" w:ascii="仿宋" w:hAnsi="仿宋" w:eastAsia="仿宋"/>
          <w:sz w:val="32"/>
          <w:szCs w:val="32"/>
          <w:lang w:eastAsia="zh-CN"/>
        </w:rPr>
        <w:t>（</w:t>
      </w:r>
      <w:r>
        <w:rPr>
          <w:rFonts w:hint="eastAsia" w:ascii="仿宋" w:hAnsi="仿宋" w:eastAsia="仿宋"/>
          <w:sz w:val="32"/>
          <w:szCs w:val="32"/>
          <w:lang w:val="en-US" w:eastAsia="zh-CN"/>
        </w:rPr>
        <w:t>二</w:t>
      </w:r>
      <w:r>
        <w:rPr>
          <w:rFonts w:hint="eastAsia" w:ascii="仿宋" w:hAnsi="仿宋" w:eastAsia="仿宋"/>
          <w:sz w:val="32"/>
          <w:szCs w:val="32"/>
          <w:lang w:eastAsia="zh-CN"/>
        </w:rPr>
        <w:t>）</w:t>
      </w:r>
      <w:r>
        <w:rPr>
          <w:rFonts w:hint="eastAsia" w:ascii="仿宋" w:hAnsi="仿宋" w:eastAsia="仿宋"/>
          <w:sz w:val="32"/>
          <w:szCs w:val="32"/>
        </w:rPr>
        <w:t>商品和服务支出</w:t>
      </w:r>
      <w:r>
        <w:rPr>
          <w:rFonts w:hint="eastAsia" w:ascii="仿宋" w:hAnsi="仿宋" w:eastAsia="仿宋"/>
          <w:sz w:val="32"/>
          <w:szCs w:val="32"/>
          <w:lang w:val="en-US" w:eastAsia="zh-CN"/>
        </w:rPr>
        <w:t>35.41</w:t>
      </w:r>
      <w:r>
        <w:rPr>
          <w:rFonts w:hint="eastAsia" w:ascii="仿宋" w:hAnsi="仿宋" w:eastAsia="仿宋"/>
          <w:sz w:val="32"/>
          <w:szCs w:val="32"/>
        </w:rPr>
        <w:t>万元，较</w:t>
      </w:r>
      <w:r>
        <w:rPr>
          <w:rFonts w:hint="eastAsia" w:ascii="仿宋" w:hAnsi="仿宋" w:eastAsia="仿宋"/>
          <w:sz w:val="32"/>
          <w:szCs w:val="32"/>
          <w:lang w:eastAsia="zh-CN"/>
        </w:rPr>
        <w:t>2021</w:t>
      </w:r>
      <w:r>
        <w:rPr>
          <w:rFonts w:hint="eastAsia" w:ascii="仿宋" w:hAnsi="仿宋" w:eastAsia="仿宋"/>
          <w:sz w:val="32"/>
          <w:szCs w:val="32"/>
        </w:rPr>
        <w:t>年</w:t>
      </w:r>
      <w:r>
        <w:rPr>
          <w:rFonts w:hint="eastAsia" w:ascii="仿宋" w:hAnsi="仿宋" w:eastAsia="仿宋"/>
          <w:sz w:val="32"/>
          <w:szCs w:val="32"/>
          <w:lang w:val="en-US" w:eastAsia="zh-CN"/>
        </w:rPr>
        <w:t>减少10.54</w:t>
      </w:r>
      <w:r>
        <w:rPr>
          <w:rFonts w:hint="eastAsia" w:ascii="仿宋" w:hAnsi="仿宋" w:eastAsia="仿宋"/>
          <w:sz w:val="32"/>
          <w:szCs w:val="32"/>
        </w:rPr>
        <w:t>万元，</w:t>
      </w:r>
      <w:r>
        <w:rPr>
          <w:rFonts w:hint="eastAsia" w:ascii="仿宋" w:hAnsi="仿宋" w:eastAsia="仿宋"/>
          <w:sz w:val="32"/>
          <w:szCs w:val="32"/>
          <w:lang w:val="en-US" w:eastAsia="zh-CN"/>
        </w:rPr>
        <w:t>下降22.98</w:t>
      </w:r>
      <w:r>
        <w:rPr>
          <w:rFonts w:hint="eastAsia" w:ascii="仿宋" w:hAnsi="仿宋" w:eastAsia="仿宋"/>
          <w:sz w:val="32"/>
          <w:szCs w:val="32"/>
        </w:rPr>
        <w:t>%，主要原因是：</w:t>
      </w:r>
      <w:r>
        <w:rPr>
          <w:rFonts w:hint="eastAsia" w:ascii="仿宋" w:hAnsi="仿宋" w:eastAsia="仿宋"/>
          <w:sz w:val="32"/>
          <w:szCs w:val="32"/>
          <w:lang w:val="en-US" w:eastAsia="zh-CN"/>
        </w:rPr>
        <w:t>缩减开支</w:t>
      </w:r>
      <w:r>
        <w:rPr>
          <w:rFonts w:hint="eastAsia" w:ascii="仿宋" w:hAnsi="仿宋" w:eastAsia="仿宋"/>
          <w:sz w:val="32"/>
          <w:szCs w:val="32"/>
        </w:rPr>
        <w:t>。</w:t>
      </w:r>
    </w:p>
    <w:p w14:paraId="7516B54C">
      <w:pPr>
        <w:ind w:firstLine="585"/>
        <w:jc w:val="both"/>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（三）对个人和家庭补助支出</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万元，较20</w:t>
      </w:r>
      <w:r>
        <w:rPr>
          <w:rFonts w:hint="eastAsia" w:ascii="仿宋_GB2312" w:hAnsi="仿宋_GB2312" w:eastAsia="仿宋_GB2312"/>
          <w:color w:val="auto"/>
          <w:sz w:val="32"/>
          <w:szCs w:val="32"/>
          <w:lang w:val="en-US" w:eastAsia="zh-CN"/>
        </w:rPr>
        <w:t>21</w:t>
      </w:r>
      <w:r>
        <w:rPr>
          <w:rFonts w:hint="eastAsia" w:ascii="仿宋_GB2312" w:hAnsi="仿宋_GB2312" w:eastAsia="仿宋_GB2312"/>
          <w:color w:val="auto"/>
          <w:sz w:val="32"/>
          <w:szCs w:val="32"/>
        </w:rPr>
        <w:t>年增加（减少）</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万元，增长（下降）</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w:t>
      </w:r>
    </w:p>
    <w:p w14:paraId="4F9B391A">
      <w:pPr>
        <w:ind w:firstLine="640" w:firstLineChars="200"/>
        <w:jc w:val="left"/>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四）</w:t>
      </w:r>
      <w:r>
        <w:rPr>
          <w:rFonts w:hint="eastAsia" w:ascii="仿宋" w:hAnsi="仿宋" w:eastAsia="仿宋"/>
          <w:sz w:val="32"/>
          <w:szCs w:val="32"/>
        </w:rPr>
        <w:t>资本性支出</w:t>
      </w:r>
      <w:r>
        <w:rPr>
          <w:rFonts w:hint="eastAsia" w:ascii="仿宋" w:hAnsi="仿宋" w:eastAsia="仿宋"/>
          <w:sz w:val="32"/>
          <w:szCs w:val="32"/>
          <w:lang w:val="en-US" w:eastAsia="zh-CN"/>
        </w:rPr>
        <w:t>1.47</w:t>
      </w:r>
      <w:r>
        <w:rPr>
          <w:rFonts w:hint="eastAsia" w:ascii="仿宋" w:hAnsi="仿宋" w:eastAsia="仿宋"/>
          <w:sz w:val="32"/>
          <w:szCs w:val="32"/>
        </w:rPr>
        <w:t>万元，较</w:t>
      </w:r>
      <w:r>
        <w:rPr>
          <w:rFonts w:hint="eastAsia" w:ascii="仿宋" w:hAnsi="仿宋" w:eastAsia="仿宋"/>
          <w:sz w:val="32"/>
          <w:szCs w:val="32"/>
          <w:lang w:eastAsia="zh-CN"/>
        </w:rPr>
        <w:t>2021</w:t>
      </w:r>
      <w:r>
        <w:rPr>
          <w:rFonts w:hint="eastAsia" w:ascii="仿宋" w:hAnsi="仿宋" w:eastAsia="仿宋"/>
          <w:sz w:val="32"/>
          <w:szCs w:val="32"/>
        </w:rPr>
        <w:t>年</w:t>
      </w:r>
      <w:r>
        <w:rPr>
          <w:rFonts w:hint="eastAsia" w:ascii="仿宋" w:hAnsi="仿宋" w:eastAsia="仿宋"/>
          <w:sz w:val="32"/>
          <w:szCs w:val="32"/>
          <w:lang w:val="en-US" w:eastAsia="zh-CN"/>
        </w:rPr>
        <w:t>增加1.47</w:t>
      </w:r>
      <w:r>
        <w:rPr>
          <w:rFonts w:hint="eastAsia" w:ascii="仿宋" w:hAnsi="仿宋" w:eastAsia="仿宋"/>
          <w:sz w:val="32"/>
          <w:szCs w:val="32"/>
        </w:rPr>
        <w:t>万元</w:t>
      </w:r>
      <w:r>
        <w:rPr>
          <w:rFonts w:hint="eastAsia" w:ascii="仿宋" w:hAnsi="仿宋" w:eastAsia="仿宋"/>
          <w:sz w:val="32"/>
          <w:szCs w:val="32"/>
          <w:lang w:val="en-US" w:eastAsia="zh-CN"/>
        </w:rPr>
        <w:t>，</w:t>
      </w:r>
      <w:r>
        <w:rPr>
          <w:rFonts w:hint="eastAsia" w:ascii="仿宋" w:hAnsi="仿宋" w:eastAsia="仿宋"/>
          <w:sz w:val="32"/>
          <w:szCs w:val="32"/>
        </w:rPr>
        <w:t>主要原因是：</w:t>
      </w:r>
      <w:r>
        <w:rPr>
          <w:rFonts w:hint="eastAsia" w:ascii="仿宋" w:hAnsi="仿宋" w:eastAsia="仿宋"/>
          <w:sz w:val="32"/>
          <w:szCs w:val="32"/>
          <w:lang w:val="en-US" w:eastAsia="zh-CN"/>
        </w:rPr>
        <w:t>产生办公设备购置支出。</w:t>
      </w:r>
    </w:p>
    <w:p w14:paraId="0B6766B6">
      <w:pPr>
        <w:ind w:firstLine="630"/>
        <w:jc w:val="left"/>
        <w:rPr>
          <w:rFonts w:hint="eastAsia" w:ascii="黑体" w:hAnsi="黑体" w:eastAsia="黑体"/>
          <w:sz w:val="32"/>
          <w:szCs w:val="32"/>
        </w:rPr>
      </w:pPr>
      <w:r>
        <w:rPr>
          <w:rFonts w:hint="eastAsia" w:ascii="黑体" w:hAnsi="黑体" w:eastAsia="黑体"/>
          <w:sz w:val="32"/>
          <w:szCs w:val="32"/>
        </w:rPr>
        <w:t>五、一般公共预算财政拨款“三公”经费支出决算情况说明</w:t>
      </w:r>
    </w:p>
    <w:p w14:paraId="1DA653CA">
      <w:pPr>
        <w:ind w:firstLine="630"/>
        <w:jc w:val="left"/>
        <w:rPr>
          <w:rFonts w:hint="eastAsia" w:ascii="仿宋" w:hAnsi="仿宋" w:eastAsia="仿宋"/>
          <w:sz w:val="32"/>
          <w:szCs w:val="32"/>
        </w:rPr>
      </w:pPr>
      <w:r>
        <w:rPr>
          <w:rFonts w:hint="eastAsia" w:ascii="仿宋" w:hAnsi="仿宋" w:eastAsia="仿宋"/>
          <w:sz w:val="32"/>
          <w:szCs w:val="32"/>
        </w:rPr>
        <w:t>本</w:t>
      </w:r>
      <w:r>
        <w:rPr>
          <w:rFonts w:hint="eastAsia" w:ascii="仿宋" w:hAnsi="仿宋" w:eastAsia="仿宋"/>
          <w:sz w:val="32"/>
          <w:szCs w:val="32"/>
          <w:lang w:val="en-US" w:eastAsia="zh-CN"/>
        </w:rPr>
        <w:t>单位</w:t>
      </w:r>
      <w:r>
        <w:rPr>
          <w:rFonts w:hint="eastAsia" w:ascii="仿宋" w:hAnsi="仿宋" w:eastAsia="仿宋"/>
          <w:sz w:val="32"/>
          <w:szCs w:val="32"/>
          <w:lang w:eastAsia="zh-CN"/>
        </w:rPr>
        <w:t>2022</w:t>
      </w:r>
      <w:r>
        <w:rPr>
          <w:rFonts w:hint="eastAsia" w:ascii="仿宋" w:hAnsi="仿宋" w:eastAsia="仿宋"/>
          <w:sz w:val="32"/>
          <w:szCs w:val="32"/>
        </w:rPr>
        <w:t>年度财政拨款“三公”经费支出</w:t>
      </w:r>
      <w:r>
        <w:rPr>
          <w:rFonts w:hint="eastAsia" w:ascii="仿宋" w:hAnsi="仿宋" w:eastAsia="仿宋"/>
          <w:sz w:val="32"/>
          <w:szCs w:val="32"/>
          <w:lang w:val="en-US" w:eastAsia="zh-CN"/>
        </w:rPr>
        <w:t>全年</w:t>
      </w:r>
      <w:r>
        <w:rPr>
          <w:rFonts w:hint="eastAsia" w:ascii="仿宋" w:hAnsi="仿宋" w:eastAsia="仿宋"/>
          <w:sz w:val="32"/>
          <w:szCs w:val="32"/>
        </w:rPr>
        <w:t>预算数为</w:t>
      </w:r>
      <w:r>
        <w:rPr>
          <w:rFonts w:hint="eastAsia" w:ascii="仿宋" w:hAnsi="仿宋" w:eastAsia="仿宋"/>
          <w:sz w:val="32"/>
          <w:szCs w:val="32"/>
          <w:lang w:val="en-US" w:eastAsia="zh-CN"/>
        </w:rPr>
        <w:t>0.28</w:t>
      </w:r>
      <w:r>
        <w:rPr>
          <w:rFonts w:hint="eastAsia" w:ascii="仿宋" w:hAnsi="仿宋" w:eastAsia="仿宋"/>
          <w:sz w:val="32"/>
          <w:szCs w:val="32"/>
        </w:rPr>
        <w:t>万元，决算数为</w:t>
      </w:r>
      <w:r>
        <w:rPr>
          <w:rFonts w:hint="eastAsia" w:ascii="仿宋" w:hAnsi="仿宋" w:eastAsia="仿宋"/>
          <w:sz w:val="32"/>
          <w:szCs w:val="32"/>
          <w:lang w:val="en-US" w:eastAsia="zh-CN"/>
        </w:rPr>
        <w:t>0.28</w:t>
      </w:r>
      <w:r>
        <w:rPr>
          <w:rFonts w:hint="eastAsia" w:ascii="仿宋" w:hAnsi="仿宋" w:eastAsia="仿宋"/>
          <w:sz w:val="32"/>
          <w:szCs w:val="32"/>
        </w:rPr>
        <w:t>万元，完成</w:t>
      </w:r>
      <w:r>
        <w:rPr>
          <w:rFonts w:hint="eastAsia" w:ascii="仿宋" w:hAnsi="仿宋" w:eastAsia="仿宋"/>
          <w:sz w:val="32"/>
          <w:szCs w:val="32"/>
          <w:lang w:val="en-US" w:eastAsia="zh-CN"/>
        </w:rPr>
        <w:t>全年</w:t>
      </w:r>
      <w:r>
        <w:rPr>
          <w:rFonts w:hint="eastAsia" w:ascii="仿宋" w:hAnsi="仿宋" w:eastAsia="仿宋"/>
          <w:sz w:val="32"/>
          <w:szCs w:val="32"/>
        </w:rPr>
        <w:t>预算的</w:t>
      </w:r>
      <w:r>
        <w:rPr>
          <w:rFonts w:hint="eastAsia" w:ascii="仿宋" w:hAnsi="仿宋" w:eastAsia="仿宋"/>
          <w:sz w:val="32"/>
          <w:szCs w:val="32"/>
          <w:lang w:val="en-US" w:eastAsia="zh-CN"/>
        </w:rPr>
        <w:t>100</w:t>
      </w:r>
      <w:r>
        <w:rPr>
          <w:rFonts w:hint="eastAsia" w:ascii="仿宋" w:hAnsi="仿宋" w:eastAsia="仿宋"/>
          <w:sz w:val="32"/>
          <w:szCs w:val="32"/>
        </w:rPr>
        <w:t>%，决算数较</w:t>
      </w:r>
      <w:r>
        <w:rPr>
          <w:rFonts w:hint="eastAsia" w:ascii="仿宋" w:hAnsi="仿宋" w:eastAsia="仿宋"/>
          <w:sz w:val="32"/>
          <w:szCs w:val="32"/>
          <w:lang w:eastAsia="zh-CN"/>
        </w:rPr>
        <w:t>2021</w:t>
      </w:r>
      <w:r>
        <w:rPr>
          <w:rFonts w:hint="eastAsia" w:ascii="仿宋" w:hAnsi="仿宋" w:eastAsia="仿宋"/>
          <w:sz w:val="32"/>
          <w:szCs w:val="32"/>
        </w:rPr>
        <w:t>年</w:t>
      </w:r>
      <w:r>
        <w:rPr>
          <w:rFonts w:hint="eastAsia" w:ascii="仿宋" w:hAnsi="仿宋" w:eastAsia="仿宋"/>
          <w:sz w:val="32"/>
          <w:szCs w:val="32"/>
          <w:lang w:val="en-US" w:eastAsia="zh-CN"/>
        </w:rPr>
        <w:t>减少0.99</w:t>
      </w:r>
      <w:r>
        <w:rPr>
          <w:rFonts w:hint="eastAsia" w:ascii="仿宋" w:hAnsi="仿宋" w:eastAsia="仿宋"/>
          <w:sz w:val="32"/>
          <w:szCs w:val="32"/>
        </w:rPr>
        <w:t>万元，</w:t>
      </w:r>
      <w:r>
        <w:rPr>
          <w:rFonts w:hint="eastAsia" w:ascii="仿宋" w:hAnsi="仿宋" w:eastAsia="仿宋"/>
          <w:sz w:val="32"/>
          <w:szCs w:val="32"/>
          <w:lang w:val="en-US" w:eastAsia="zh-CN"/>
        </w:rPr>
        <w:t>下降77.9</w:t>
      </w:r>
      <w:r>
        <w:rPr>
          <w:rFonts w:hint="eastAsia" w:ascii="仿宋" w:hAnsi="仿宋" w:eastAsia="仿宋"/>
          <w:sz w:val="32"/>
          <w:szCs w:val="32"/>
        </w:rPr>
        <w:t>%，其中：</w:t>
      </w:r>
    </w:p>
    <w:p w14:paraId="2D3FB1F8">
      <w:pPr>
        <w:ind w:firstLine="630"/>
        <w:jc w:val="left"/>
        <w:rPr>
          <w:rFonts w:hint="default" w:ascii="仿宋" w:hAnsi="仿宋" w:eastAsia="仿宋"/>
          <w:sz w:val="32"/>
          <w:szCs w:val="32"/>
          <w:lang w:val="en-US"/>
        </w:rPr>
      </w:pPr>
      <w:r>
        <w:rPr>
          <w:rFonts w:hint="eastAsia" w:ascii="仿宋" w:hAnsi="仿宋" w:eastAsia="仿宋"/>
          <w:sz w:val="32"/>
          <w:szCs w:val="32"/>
        </w:rPr>
        <w:t>（一）因公出国（境）支出</w:t>
      </w:r>
      <w:r>
        <w:rPr>
          <w:rFonts w:hint="eastAsia" w:ascii="仿宋" w:hAnsi="仿宋" w:eastAsia="仿宋"/>
          <w:sz w:val="32"/>
          <w:szCs w:val="32"/>
          <w:lang w:val="en-US" w:eastAsia="zh-CN"/>
        </w:rPr>
        <w:t>全年</w:t>
      </w:r>
      <w:r>
        <w:rPr>
          <w:rFonts w:hint="eastAsia" w:ascii="仿宋" w:hAnsi="仿宋" w:eastAsia="仿宋"/>
          <w:sz w:val="32"/>
          <w:szCs w:val="32"/>
        </w:rPr>
        <w:t>预算数为</w:t>
      </w:r>
      <w:r>
        <w:rPr>
          <w:rFonts w:hint="eastAsia" w:ascii="仿宋" w:hAnsi="仿宋" w:eastAsia="仿宋"/>
          <w:sz w:val="32"/>
          <w:szCs w:val="32"/>
          <w:lang w:val="en-US" w:eastAsia="zh-CN"/>
        </w:rPr>
        <w:t>0</w:t>
      </w:r>
      <w:r>
        <w:rPr>
          <w:rFonts w:hint="eastAsia" w:ascii="仿宋" w:hAnsi="仿宋" w:eastAsia="仿宋"/>
          <w:sz w:val="32"/>
          <w:szCs w:val="32"/>
        </w:rPr>
        <w:t>万元，决算数为</w:t>
      </w:r>
      <w:r>
        <w:rPr>
          <w:rFonts w:hint="eastAsia" w:ascii="仿宋" w:hAnsi="仿宋" w:eastAsia="仿宋"/>
          <w:sz w:val="32"/>
          <w:szCs w:val="32"/>
          <w:lang w:val="en-US" w:eastAsia="zh-CN"/>
        </w:rPr>
        <w:t>0</w:t>
      </w:r>
      <w:r>
        <w:rPr>
          <w:rFonts w:hint="eastAsia" w:ascii="仿宋" w:hAnsi="仿宋" w:eastAsia="仿宋"/>
          <w:sz w:val="32"/>
          <w:szCs w:val="32"/>
        </w:rPr>
        <w:t>万元，完成</w:t>
      </w:r>
      <w:r>
        <w:rPr>
          <w:rFonts w:hint="eastAsia" w:ascii="仿宋" w:hAnsi="仿宋" w:eastAsia="仿宋"/>
          <w:sz w:val="32"/>
          <w:szCs w:val="32"/>
          <w:lang w:val="en-US" w:eastAsia="zh-CN"/>
        </w:rPr>
        <w:t>全年</w:t>
      </w:r>
      <w:r>
        <w:rPr>
          <w:rFonts w:hint="eastAsia" w:ascii="仿宋" w:hAnsi="仿宋" w:eastAsia="仿宋"/>
          <w:sz w:val="32"/>
          <w:szCs w:val="32"/>
        </w:rPr>
        <w:t>预算的</w:t>
      </w:r>
      <w:r>
        <w:rPr>
          <w:rFonts w:hint="eastAsia" w:ascii="仿宋" w:hAnsi="仿宋" w:eastAsia="仿宋"/>
          <w:sz w:val="32"/>
          <w:szCs w:val="32"/>
          <w:lang w:val="en-US" w:eastAsia="zh-CN"/>
        </w:rPr>
        <w:t>0</w:t>
      </w:r>
      <w:r>
        <w:rPr>
          <w:rFonts w:hint="eastAsia" w:ascii="仿宋" w:hAnsi="仿宋" w:eastAsia="仿宋"/>
          <w:sz w:val="32"/>
          <w:szCs w:val="32"/>
        </w:rPr>
        <w:t xml:space="preserve"> %，决算数较</w:t>
      </w:r>
      <w:r>
        <w:rPr>
          <w:rFonts w:hint="eastAsia" w:ascii="仿宋" w:hAnsi="仿宋" w:eastAsia="仿宋"/>
          <w:sz w:val="32"/>
          <w:szCs w:val="32"/>
          <w:lang w:eastAsia="zh-CN"/>
        </w:rPr>
        <w:t>2021</w:t>
      </w:r>
      <w:r>
        <w:rPr>
          <w:rFonts w:hint="eastAsia" w:ascii="仿宋" w:hAnsi="仿宋" w:eastAsia="仿宋"/>
          <w:sz w:val="32"/>
          <w:szCs w:val="32"/>
        </w:rPr>
        <w:t>年增加（减少）</w:t>
      </w:r>
      <w:r>
        <w:rPr>
          <w:rFonts w:hint="eastAsia" w:ascii="仿宋" w:hAnsi="仿宋" w:eastAsia="仿宋"/>
          <w:sz w:val="32"/>
          <w:szCs w:val="32"/>
          <w:lang w:val="en-US" w:eastAsia="zh-CN"/>
        </w:rPr>
        <w:t>0</w:t>
      </w:r>
      <w:r>
        <w:rPr>
          <w:rFonts w:hint="eastAsia" w:ascii="仿宋" w:hAnsi="仿宋" w:eastAsia="仿宋"/>
          <w:sz w:val="32"/>
          <w:szCs w:val="32"/>
        </w:rPr>
        <w:t>万元，增长（下降）</w:t>
      </w:r>
      <w:r>
        <w:rPr>
          <w:rFonts w:hint="eastAsia" w:ascii="仿宋" w:hAnsi="仿宋" w:eastAsia="仿宋"/>
          <w:sz w:val="32"/>
          <w:szCs w:val="32"/>
          <w:lang w:val="en-US" w:eastAsia="zh-CN"/>
        </w:rPr>
        <w:t>0</w:t>
      </w:r>
      <w:r>
        <w:rPr>
          <w:rFonts w:hint="eastAsia" w:ascii="仿宋" w:hAnsi="仿宋" w:eastAsia="仿宋"/>
          <w:sz w:val="32"/>
          <w:szCs w:val="32"/>
        </w:rPr>
        <w:t>%。</w:t>
      </w:r>
    </w:p>
    <w:p w14:paraId="0C9A3830">
      <w:pPr>
        <w:ind w:firstLine="630"/>
        <w:jc w:val="left"/>
        <w:rPr>
          <w:rFonts w:hint="default" w:ascii="仿宋" w:hAnsi="仿宋" w:eastAsia="仿宋"/>
          <w:sz w:val="32"/>
          <w:szCs w:val="32"/>
          <w:lang w:val="en-US" w:eastAsia="zh-CN"/>
        </w:rPr>
      </w:pPr>
      <w:r>
        <w:rPr>
          <w:rFonts w:hint="eastAsia" w:ascii="仿宋" w:hAnsi="仿宋" w:eastAsia="仿宋"/>
          <w:sz w:val="32"/>
          <w:szCs w:val="32"/>
        </w:rPr>
        <w:t>（二）公务接待费支出</w:t>
      </w:r>
      <w:r>
        <w:rPr>
          <w:rFonts w:hint="eastAsia" w:ascii="仿宋" w:hAnsi="仿宋" w:eastAsia="仿宋"/>
          <w:sz w:val="32"/>
          <w:szCs w:val="32"/>
          <w:lang w:val="en-US" w:eastAsia="zh-CN"/>
        </w:rPr>
        <w:t>全年</w:t>
      </w:r>
      <w:r>
        <w:rPr>
          <w:rFonts w:hint="eastAsia" w:ascii="仿宋" w:hAnsi="仿宋" w:eastAsia="仿宋"/>
          <w:sz w:val="32"/>
          <w:szCs w:val="32"/>
        </w:rPr>
        <w:t>预算数为</w:t>
      </w:r>
      <w:r>
        <w:rPr>
          <w:rFonts w:hint="eastAsia" w:ascii="仿宋" w:hAnsi="仿宋" w:eastAsia="仿宋"/>
          <w:sz w:val="32"/>
          <w:szCs w:val="32"/>
          <w:lang w:val="en-US" w:eastAsia="zh-CN"/>
        </w:rPr>
        <w:t>0.28</w:t>
      </w:r>
      <w:r>
        <w:rPr>
          <w:rFonts w:hint="eastAsia" w:ascii="仿宋" w:hAnsi="仿宋" w:eastAsia="仿宋"/>
          <w:sz w:val="32"/>
          <w:szCs w:val="32"/>
        </w:rPr>
        <w:t>万元，决算数为</w:t>
      </w:r>
      <w:r>
        <w:rPr>
          <w:rFonts w:hint="eastAsia" w:ascii="仿宋" w:hAnsi="仿宋" w:eastAsia="仿宋"/>
          <w:sz w:val="32"/>
          <w:szCs w:val="32"/>
          <w:lang w:val="en-US" w:eastAsia="zh-CN"/>
        </w:rPr>
        <w:t>0.28</w:t>
      </w:r>
      <w:r>
        <w:rPr>
          <w:rFonts w:hint="eastAsia" w:ascii="仿宋" w:hAnsi="仿宋" w:eastAsia="仿宋"/>
          <w:sz w:val="32"/>
          <w:szCs w:val="32"/>
        </w:rPr>
        <w:t>万元，完成预算的</w:t>
      </w:r>
      <w:r>
        <w:rPr>
          <w:rFonts w:hint="eastAsia" w:ascii="仿宋" w:hAnsi="仿宋" w:eastAsia="仿宋"/>
          <w:sz w:val="32"/>
          <w:szCs w:val="32"/>
          <w:lang w:val="en-US" w:eastAsia="zh-CN"/>
        </w:rPr>
        <w:t>100</w:t>
      </w:r>
      <w:r>
        <w:rPr>
          <w:rFonts w:hint="eastAsia" w:ascii="仿宋" w:hAnsi="仿宋" w:eastAsia="仿宋"/>
          <w:sz w:val="32"/>
          <w:szCs w:val="32"/>
        </w:rPr>
        <w:t>%，决算数较</w:t>
      </w:r>
      <w:r>
        <w:rPr>
          <w:rFonts w:hint="eastAsia" w:ascii="仿宋" w:hAnsi="仿宋" w:eastAsia="仿宋"/>
          <w:sz w:val="32"/>
          <w:szCs w:val="32"/>
          <w:lang w:eastAsia="zh-CN"/>
        </w:rPr>
        <w:t>2021</w:t>
      </w:r>
      <w:r>
        <w:rPr>
          <w:rFonts w:hint="eastAsia" w:ascii="仿宋" w:hAnsi="仿宋" w:eastAsia="仿宋"/>
          <w:sz w:val="32"/>
          <w:szCs w:val="32"/>
        </w:rPr>
        <w:t>年</w:t>
      </w:r>
      <w:r>
        <w:rPr>
          <w:rFonts w:hint="eastAsia" w:ascii="仿宋" w:hAnsi="仿宋" w:eastAsia="仿宋"/>
          <w:sz w:val="32"/>
          <w:szCs w:val="32"/>
          <w:lang w:val="en-US" w:eastAsia="zh-CN"/>
        </w:rPr>
        <w:t>减少0.99</w:t>
      </w:r>
      <w:r>
        <w:rPr>
          <w:rFonts w:hint="eastAsia" w:ascii="仿宋" w:hAnsi="仿宋" w:eastAsia="仿宋"/>
          <w:sz w:val="32"/>
          <w:szCs w:val="32"/>
        </w:rPr>
        <w:t>万元，</w:t>
      </w:r>
      <w:r>
        <w:rPr>
          <w:rFonts w:hint="eastAsia" w:ascii="仿宋" w:hAnsi="仿宋" w:eastAsia="仿宋"/>
          <w:sz w:val="32"/>
          <w:szCs w:val="32"/>
          <w:lang w:val="en-US" w:eastAsia="zh-CN"/>
        </w:rPr>
        <w:t>下降77.9</w:t>
      </w:r>
      <w:r>
        <w:rPr>
          <w:rFonts w:hint="eastAsia" w:ascii="仿宋" w:hAnsi="仿宋" w:eastAsia="仿宋"/>
          <w:sz w:val="32"/>
          <w:szCs w:val="32"/>
        </w:rPr>
        <w:t>%</w:t>
      </w:r>
      <w:r>
        <w:rPr>
          <w:rFonts w:hint="eastAsia" w:ascii="仿宋" w:hAnsi="仿宋" w:eastAsia="仿宋"/>
          <w:sz w:val="32"/>
          <w:szCs w:val="32"/>
          <w:lang w:eastAsia="zh-CN"/>
        </w:rPr>
        <w:t>，</w:t>
      </w:r>
      <w:r>
        <w:rPr>
          <w:rFonts w:hint="eastAsia" w:ascii="仿宋" w:hAnsi="仿宋" w:eastAsia="仿宋" w:cs="Times New Roman"/>
          <w:sz w:val="32"/>
          <w:szCs w:val="32"/>
          <w:lang w:val="en-US" w:eastAsia="zh-CN"/>
        </w:rPr>
        <w:t>主要原因是：疫情影响，减少公务接待</w:t>
      </w:r>
      <w:r>
        <w:rPr>
          <w:rFonts w:hint="eastAsia" w:ascii="仿宋" w:hAnsi="仿宋" w:eastAsia="仿宋"/>
          <w:sz w:val="32"/>
          <w:szCs w:val="32"/>
        </w:rPr>
        <w:t>。决算数较</w:t>
      </w:r>
      <w:r>
        <w:rPr>
          <w:rFonts w:hint="eastAsia" w:ascii="仿宋" w:hAnsi="仿宋" w:eastAsia="仿宋"/>
          <w:sz w:val="32"/>
          <w:szCs w:val="32"/>
          <w:lang w:val="en-US" w:eastAsia="zh-CN"/>
        </w:rPr>
        <w:t>全年</w:t>
      </w:r>
      <w:r>
        <w:rPr>
          <w:rFonts w:hint="eastAsia" w:ascii="仿宋" w:hAnsi="仿宋" w:eastAsia="仿宋"/>
          <w:sz w:val="32"/>
          <w:szCs w:val="32"/>
        </w:rPr>
        <w:t>预算数</w:t>
      </w:r>
      <w:r>
        <w:rPr>
          <w:rFonts w:hint="eastAsia" w:ascii="仿宋" w:hAnsi="仿宋" w:eastAsia="仿宋"/>
          <w:sz w:val="32"/>
          <w:szCs w:val="32"/>
          <w:lang w:val="en-US" w:eastAsia="zh-CN"/>
        </w:rPr>
        <w:t>无增减变动</w:t>
      </w:r>
      <w:r>
        <w:rPr>
          <w:rFonts w:hint="eastAsia" w:ascii="仿宋" w:hAnsi="仿宋" w:eastAsia="仿宋"/>
          <w:sz w:val="32"/>
          <w:szCs w:val="32"/>
        </w:rPr>
        <w:t>。</w:t>
      </w:r>
      <w:r>
        <w:rPr>
          <w:rFonts w:hint="eastAsia" w:ascii="仿宋" w:hAnsi="仿宋" w:eastAsia="仿宋"/>
          <w:sz w:val="32"/>
          <w:szCs w:val="32"/>
          <w:lang w:val="en-US" w:eastAsia="zh-CN"/>
        </w:rPr>
        <w:t>全年国内公务接待4批，累计接待14人次，其中外事接待0批，累计接待0人次</w:t>
      </w:r>
      <w:r>
        <w:rPr>
          <w:rFonts w:hint="eastAsia" w:ascii="仿宋" w:hAnsi="仿宋" w:eastAsia="仿宋"/>
          <w:sz w:val="32"/>
          <w:szCs w:val="32"/>
        </w:rPr>
        <w:t>。</w:t>
      </w:r>
    </w:p>
    <w:p w14:paraId="1525D9A8">
      <w:pPr>
        <w:ind w:firstLine="630"/>
        <w:jc w:val="left"/>
        <w:rPr>
          <w:rFonts w:hint="eastAsia" w:ascii="仿宋" w:hAnsi="仿宋" w:eastAsia="仿宋"/>
          <w:sz w:val="32"/>
          <w:szCs w:val="32"/>
          <w:lang w:val="en-US" w:eastAsia="zh-CN"/>
        </w:rPr>
      </w:pPr>
      <w:r>
        <w:rPr>
          <w:rFonts w:hint="eastAsia" w:ascii="仿宋" w:hAnsi="仿宋" w:eastAsia="仿宋"/>
          <w:sz w:val="32"/>
          <w:szCs w:val="32"/>
        </w:rPr>
        <w:t>（三）公务用车购置及运行维护费支出</w:t>
      </w:r>
      <w:r>
        <w:rPr>
          <w:rFonts w:hint="eastAsia" w:ascii="仿宋" w:hAnsi="仿宋" w:eastAsia="仿宋"/>
          <w:sz w:val="32"/>
          <w:szCs w:val="32"/>
          <w:lang w:val="en-US" w:eastAsia="zh-CN"/>
        </w:rPr>
        <w:t>0</w:t>
      </w:r>
      <w:r>
        <w:rPr>
          <w:rFonts w:hint="eastAsia" w:ascii="仿宋" w:hAnsi="仿宋" w:eastAsia="仿宋"/>
          <w:sz w:val="32"/>
          <w:szCs w:val="32"/>
        </w:rPr>
        <w:t>万元，其中公务用车购置</w:t>
      </w:r>
      <w:r>
        <w:rPr>
          <w:rFonts w:hint="eastAsia" w:ascii="仿宋" w:hAnsi="仿宋" w:eastAsia="仿宋"/>
          <w:sz w:val="32"/>
          <w:szCs w:val="32"/>
          <w:lang w:val="en-US" w:eastAsia="zh-CN"/>
        </w:rPr>
        <w:t>全年</w:t>
      </w:r>
      <w:r>
        <w:rPr>
          <w:rFonts w:hint="eastAsia" w:ascii="仿宋" w:hAnsi="仿宋" w:eastAsia="仿宋"/>
          <w:sz w:val="32"/>
          <w:szCs w:val="32"/>
        </w:rPr>
        <w:t>预算数为</w:t>
      </w:r>
      <w:r>
        <w:rPr>
          <w:rFonts w:hint="eastAsia" w:ascii="仿宋" w:hAnsi="仿宋" w:eastAsia="仿宋"/>
          <w:sz w:val="32"/>
          <w:szCs w:val="32"/>
          <w:lang w:val="en-US" w:eastAsia="zh-CN"/>
        </w:rPr>
        <w:t>0</w:t>
      </w:r>
      <w:r>
        <w:rPr>
          <w:rFonts w:hint="eastAsia" w:ascii="仿宋" w:hAnsi="仿宋" w:eastAsia="仿宋"/>
          <w:sz w:val="32"/>
          <w:szCs w:val="32"/>
        </w:rPr>
        <w:t>万元，决算数为</w:t>
      </w:r>
      <w:r>
        <w:rPr>
          <w:rFonts w:hint="eastAsia" w:ascii="仿宋" w:hAnsi="仿宋" w:eastAsia="仿宋"/>
          <w:sz w:val="32"/>
          <w:szCs w:val="32"/>
          <w:lang w:val="en-US" w:eastAsia="zh-CN"/>
        </w:rPr>
        <w:t>0</w:t>
      </w:r>
      <w:r>
        <w:rPr>
          <w:rFonts w:hint="eastAsia" w:ascii="仿宋" w:hAnsi="仿宋" w:eastAsia="仿宋"/>
          <w:sz w:val="32"/>
          <w:szCs w:val="32"/>
        </w:rPr>
        <w:t>万元，完成预算的</w:t>
      </w:r>
      <w:r>
        <w:rPr>
          <w:rFonts w:hint="eastAsia" w:ascii="仿宋" w:hAnsi="仿宋" w:eastAsia="仿宋"/>
          <w:sz w:val="32"/>
          <w:szCs w:val="32"/>
          <w:lang w:val="en-US" w:eastAsia="zh-CN"/>
        </w:rPr>
        <w:t>100</w:t>
      </w:r>
      <w:r>
        <w:rPr>
          <w:rFonts w:hint="eastAsia" w:ascii="仿宋" w:hAnsi="仿宋" w:eastAsia="仿宋"/>
          <w:sz w:val="32"/>
          <w:szCs w:val="32"/>
        </w:rPr>
        <w:t xml:space="preserve"> %，决算数较</w:t>
      </w:r>
      <w:r>
        <w:rPr>
          <w:rFonts w:hint="eastAsia" w:ascii="仿宋" w:hAnsi="仿宋" w:eastAsia="仿宋"/>
          <w:sz w:val="32"/>
          <w:szCs w:val="32"/>
          <w:lang w:eastAsia="zh-CN"/>
        </w:rPr>
        <w:t>2021</w:t>
      </w:r>
      <w:r>
        <w:rPr>
          <w:rFonts w:hint="eastAsia" w:ascii="仿宋" w:hAnsi="仿宋" w:eastAsia="仿宋"/>
          <w:sz w:val="32"/>
          <w:szCs w:val="32"/>
        </w:rPr>
        <w:t>年增加</w:t>
      </w:r>
      <w:r>
        <w:rPr>
          <w:rFonts w:hint="eastAsia" w:ascii="仿宋" w:hAnsi="仿宋" w:eastAsia="仿宋"/>
          <w:sz w:val="32"/>
          <w:szCs w:val="32"/>
          <w:lang w:val="en-US" w:eastAsia="zh-CN"/>
        </w:rPr>
        <w:t>0万元</w:t>
      </w:r>
      <w:r>
        <w:rPr>
          <w:rFonts w:hint="eastAsia" w:ascii="仿宋" w:hAnsi="仿宋" w:eastAsia="仿宋"/>
          <w:sz w:val="32"/>
          <w:szCs w:val="32"/>
        </w:rPr>
        <w:t>，增长</w:t>
      </w:r>
      <w:r>
        <w:rPr>
          <w:rFonts w:hint="eastAsia" w:ascii="仿宋" w:hAnsi="仿宋" w:eastAsia="仿宋"/>
          <w:sz w:val="32"/>
          <w:szCs w:val="32"/>
          <w:lang w:val="en-US" w:eastAsia="zh-CN"/>
        </w:rPr>
        <w:t>0</w:t>
      </w:r>
      <w:r>
        <w:rPr>
          <w:rFonts w:hint="eastAsia" w:ascii="仿宋" w:hAnsi="仿宋" w:eastAsia="仿宋"/>
          <w:sz w:val="32"/>
          <w:szCs w:val="32"/>
        </w:rPr>
        <w:t xml:space="preserve"> %</w:t>
      </w:r>
      <w:r>
        <w:rPr>
          <w:rFonts w:hint="eastAsia" w:ascii="仿宋" w:hAnsi="仿宋" w:eastAsia="仿宋"/>
          <w:sz w:val="32"/>
          <w:szCs w:val="32"/>
          <w:lang w:eastAsia="zh-CN"/>
        </w:rPr>
        <w:t>，</w:t>
      </w:r>
      <w:r>
        <w:rPr>
          <w:rFonts w:hint="eastAsia" w:ascii="仿宋" w:hAnsi="仿宋" w:eastAsia="仿宋"/>
          <w:sz w:val="32"/>
          <w:szCs w:val="32"/>
          <w:lang w:val="en-US" w:eastAsia="zh-CN"/>
        </w:rPr>
        <w:t>无增减变动，全年购置公务用车0辆。决算数较全年预算数无增减变动；</w:t>
      </w:r>
      <w:r>
        <w:rPr>
          <w:rFonts w:hint="eastAsia" w:ascii="仿宋" w:hAnsi="仿宋" w:eastAsia="仿宋"/>
          <w:sz w:val="32"/>
          <w:szCs w:val="32"/>
        </w:rPr>
        <w:t>公务用车运行维护费支出</w:t>
      </w:r>
      <w:r>
        <w:rPr>
          <w:rFonts w:hint="eastAsia" w:ascii="仿宋" w:hAnsi="仿宋" w:eastAsia="仿宋"/>
          <w:sz w:val="32"/>
          <w:szCs w:val="32"/>
          <w:lang w:val="en-US" w:eastAsia="zh-CN"/>
        </w:rPr>
        <w:t>全年</w:t>
      </w:r>
      <w:r>
        <w:rPr>
          <w:rFonts w:hint="eastAsia" w:ascii="仿宋" w:hAnsi="仿宋" w:eastAsia="仿宋"/>
          <w:sz w:val="32"/>
          <w:szCs w:val="32"/>
        </w:rPr>
        <w:t>预算数为</w:t>
      </w:r>
      <w:r>
        <w:rPr>
          <w:rFonts w:hint="eastAsia" w:ascii="仿宋" w:hAnsi="仿宋" w:eastAsia="仿宋"/>
          <w:sz w:val="32"/>
          <w:szCs w:val="32"/>
          <w:lang w:val="en-US" w:eastAsia="zh-CN"/>
        </w:rPr>
        <w:t>0</w:t>
      </w:r>
      <w:r>
        <w:rPr>
          <w:rFonts w:hint="eastAsia" w:ascii="仿宋" w:hAnsi="仿宋" w:eastAsia="仿宋"/>
          <w:sz w:val="32"/>
          <w:szCs w:val="32"/>
        </w:rPr>
        <w:t>万元，决算数为</w:t>
      </w:r>
      <w:r>
        <w:rPr>
          <w:rFonts w:hint="eastAsia" w:ascii="仿宋" w:hAnsi="仿宋" w:eastAsia="仿宋"/>
          <w:sz w:val="32"/>
          <w:szCs w:val="32"/>
          <w:lang w:val="en-US" w:eastAsia="zh-CN"/>
        </w:rPr>
        <w:t>0</w:t>
      </w:r>
      <w:r>
        <w:rPr>
          <w:rFonts w:hint="eastAsia" w:ascii="仿宋" w:hAnsi="仿宋" w:eastAsia="仿宋"/>
          <w:sz w:val="32"/>
          <w:szCs w:val="32"/>
        </w:rPr>
        <w:t>万元，完成预算的</w:t>
      </w:r>
      <w:r>
        <w:rPr>
          <w:rFonts w:hint="eastAsia" w:ascii="仿宋" w:hAnsi="仿宋" w:eastAsia="仿宋"/>
          <w:sz w:val="32"/>
          <w:szCs w:val="32"/>
          <w:lang w:val="en-US" w:eastAsia="zh-CN"/>
        </w:rPr>
        <w:t>100</w:t>
      </w:r>
      <w:r>
        <w:rPr>
          <w:rFonts w:hint="eastAsia" w:ascii="仿宋" w:hAnsi="仿宋" w:eastAsia="仿宋"/>
          <w:sz w:val="32"/>
          <w:szCs w:val="32"/>
        </w:rPr>
        <w:t>%，决算数较</w:t>
      </w:r>
      <w:r>
        <w:rPr>
          <w:rFonts w:hint="eastAsia" w:ascii="仿宋" w:hAnsi="仿宋" w:eastAsia="仿宋"/>
          <w:sz w:val="32"/>
          <w:szCs w:val="32"/>
          <w:lang w:eastAsia="zh-CN"/>
        </w:rPr>
        <w:t>2021</w:t>
      </w:r>
      <w:r>
        <w:rPr>
          <w:rFonts w:hint="eastAsia" w:ascii="仿宋" w:hAnsi="仿宋" w:eastAsia="仿宋"/>
          <w:sz w:val="32"/>
          <w:szCs w:val="32"/>
        </w:rPr>
        <w:t>年</w:t>
      </w:r>
      <w:r>
        <w:rPr>
          <w:rFonts w:hint="eastAsia" w:ascii="仿宋" w:hAnsi="仿宋" w:eastAsia="仿宋"/>
          <w:sz w:val="32"/>
          <w:szCs w:val="32"/>
          <w:lang w:val="en-US" w:eastAsia="zh-CN"/>
        </w:rPr>
        <w:t>无增减变动，年末公务用车保有0辆</w:t>
      </w:r>
      <w:r>
        <w:rPr>
          <w:rFonts w:hint="eastAsia" w:ascii="仿宋" w:hAnsi="仿宋" w:eastAsia="仿宋"/>
          <w:sz w:val="32"/>
          <w:szCs w:val="32"/>
        </w:rPr>
        <w:t>。决算数较</w:t>
      </w:r>
      <w:r>
        <w:rPr>
          <w:rFonts w:hint="eastAsia" w:ascii="仿宋" w:hAnsi="仿宋" w:eastAsia="仿宋"/>
          <w:sz w:val="32"/>
          <w:szCs w:val="32"/>
          <w:lang w:val="en-US" w:eastAsia="zh-CN"/>
        </w:rPr>
        <w:t>全年</w:t>
      </w:r>
      <w:r>
        <w:rPr>
          <w:rFonts w:hint="eastAsia" w:ascii="仿宋" w:hAnsi="仿宋" w:eastAsia="仿宋"/>
          <w:sz w:val="32"/>
          <w:szCs w:val="32"/>
        </w:rPr>
        <w:t>预算数</w:t>
      </w:r>
      <w:r>
        <w:rPr>
          <w:rFonts w:hint="eastAsia" w:ascii="仿宋" w:hAnsi="仿宋" w:eastAsia="仿宋"/>
          <w:sz w:val="32"/>
          <w:szCs w:val="32"/>
          <w:lang w:val="en-US" w:eastAsia="zh-CN"/>
        </w:rPr>
        <w:t>无增减变动。</w:t>
      </w:r>
    </w:p>
    <w:p w14:paraId="15C8ED68">
      <w:pPr>
        <w:ind w:firstLine="630"/>
        <w:jc w:val="left"/>
        <w:rPr>
          <w:rFonts w:hint="eastAsia" w:ascii="黑体" w:hAnsi="黑体" w:eastAsia="黑体"/>
          <w:sz w:val="32"/>
          <w:szCs w:val="32"/>
        </w:rPr>
      </w:pPr>
      <w:r>
        <w:rPr>
          <w:rFonts w:hint="eastAsia" w:ascii="黑体" w:hAnsi="黑体" w:eastAsia="黑体"/>
          <w:sz w:val="32"/>
          <w:szCs w:val="32"/>
        </w:rPr>
        <w:t>六、机关运行经费支出情况说明</w:t>
      </w:r>
    </w:p>
    <w:p w14:paraId="136DEF2E">
      <w:pPr>
        <w:ind w:firstLine="630"/>
        <w:jc w:val="left"/>
        <w:rPr>
          <w:rFonts w:hint="eastAsia" w:ascii="仿宋" w:hAnsi="仿宋" w:eastAsia="仿宋"/>
          <w:sz w:val="32"/>
          <w:szCs w:val="32"/>
        </w:rPr>
      </w:pPr>
      <w:r>
        <w:rPr>
          <w:rFonts w:hint="eastAsia" w:ascii="仿宋" w:hAnsi="仿宋" w:eastAsia="仿宋"/>
          <w:sz w:val="32"/>
          <w:szCs w:val="32"/>
        </w:rPr>
        <w:t>本</w:t>
      </w:r>
      <w:r>
        <w:rPr>
          <w:rFonts w:hint="eastAsia" w:ascii="仿宋" w:hAnsi="仿宋" w:eastAsia="仿宋"/>
          <w:sz w:val="32"/>
          <w:szCs w:val="32"/>
          <w:lang w:val="en-US" w:eastAsia="zh-CN"/>
        </w:rPr>
        <w:t>单位</w:t>
      </w:r>
      <w:r>
        <w:rPr>
          <w:rFonts w:hint="eastAsia" w:ascii="仿宋" w:hAnsi="仿宋" w:eastAsia="仿宋"/>
          <w:sz w:val="32"/>
          <w:szCs w:val="32"/>
          <w:lang w:eastAsia="zh-CN"/>
        </w:rPr>
        <w:t>2022</w:t>
      </w:r>
      <w:r>
        <w:rPr>
          <w:rFonts w:hint="eastAsia" w:ascii="仿宋" w:hAnsi="仿宋" w:eastAsia="仿宋"/>
          <w:sz w:val="32"/>
          <w:szCs w:val="32"/>
        </w:rPr>
        <w:t>年度机关运行经费支出</w:t>
      </w:r>
      <w:r>
        <w:rPr>
          <w:rFonts w:hint="eastAsia" w:ascii="仿宋" w:hAnsi="仿宋" w:eastAsia="仿宋"/>
          <w:sz w:val="32"/>
          <w:szCs w:val="32"/>
          <w:lang w:val="en-US" w:eastAsia="zh-CN"/>
        </w:rPr>
        <w:t>35.41</w:t>
      </w:r>
      <w:r>
        <w:rPr>
          <w:rFonts w:hint="eastAsia" w:ascii="仿宋" w:hAnsi="仿宋" w:eastAsia="仿宋"/>
          <w:sz w:val="32"/>
          <w:szCs w:val="32"/>
        </w:rPr>
        <w:t>万元（与</w:t>
      </w:r>
      <w:r>
        <w:rPr>
          <w:rFonts w:hint="eastAsia" w:ascii="仿宋" w:hAnsi="仿宋" w:eastAsia="仿宋"/>
          <w:sz w:val="32"/>
          <w:szCs w:val="32"/>
          <w:lang w:val="en-US" w:eastAsia="zh-CN"/>
        </w:rPr>
        <w:t>单位</w:t>
      </w:r>
      <w:r>
        <w:rPr>
          <w:rFonts w:hint="eastAsia" w:ascii="仿宋" w:hAnsi="仿宋" w:eastAsia="仿宋"/>
          <w:sz w:val="32"/>
          <w:szCs w:val="32"/>
        </w:rPr>
        <w:t>决算中行政单位和参照公务员法管理事业单位一般公共预算财政拨款基本支出中公用经费之和一致），较</w:t>
      </w:r>
      <w:r>
        <w:rPr>
          <w:rFonts w:hint="eastAsia" w:ascii="仿宋" w:hAnsi="仿宋" w:eastAsia="仿宋"/>
          <w:sz w:val="32"/>
          <w:szCs w:val="32"/>
          <w:lang w:val="en-US" w:eastAsia="zh-CN"/>
        </w:rPr>
        <w:t>年初预算数减少10.54</w:t>
      </w:r>
      <w:r>
        <w:rPr>
          <w:rFonts w:hint="eastAsia" w:ascii="仿宋" w:hAnsi="仿宋" w:eastAsia="仿宋"/>
          <w:sz w:val="32"/>
          <w:szCs w:val="32"/>
        </w:rPr>
        <w:t>万元，主要原因是：</w:t>
      </w:r>
      <w:r>
        <w:rPr>
          <w:rFonts w:hint="eastAsia" w:ascii="仿宋" w:hAnsi="仿宋" w:eastAsia="仿宋"/>
          <w:sz w:val="32"/>
          <w:szCs w:val="32"/>
          <w:lang w:val="en-US" w:eastAsia="zh-CN"/>
        </w:rPr>
        <w:t>落实过紧日子压减公用经费支出。</w:t>
      </w:r>
    </w:p>
    <w:p w14:paraId="1BB2D3F4">
      <w:pPr>
        <w:ind w:firstLine="630"/>
        <w:jc w:val="left"/>
        <w:rPr>
          <w:rFonts w:ascii="黑体" w:hAnsi="黑体" w:eastAsia="黑体"/>
          <w:sz w:val="32"/>
          <w:szCs w:val="32"/>
        </w:rPr>
      </w:pPr>
      <w:r>
        <w:rPr>
          <w:rFonts w:hint="eastAsia" w:ascii="黑体" w:hAnsi="黑体" w:eastAsia="黑体"/>
          <w:sz w:val="32"/>
          <w:szCs w:val="32"/>
        </w:rPr>
        <w:t>七、政府采购支出情况说明</w:t>
      </w:r>
    </w:p>
    <w:p w14:paraId="24E2E1FA">
      <w:pPr>
        <w:pStyle w:val="6"/>
        <w:keepNext w:val="0"/>
        <w:keepLines w:val="0"/>
        <w:pageBreakBefore w:val="0"/>
        <w:kinsoku/>
        <w:wordWrap/>
        <w:overflowPunct/>
        <w:topLinePunct w:val="0"/>
        <w:bidi w:val="0"/>
        <w:snapToGrid/>
        <w:spacing w:line="600" w:lineRule="exact"/>
        <w:ind w:firstLine="640" w:firstLineChars="20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本</w:t>
      </w:r>
      <w:r>
        <w:rPr>
          <w:rFonts w:hint="eastAsia" w:ascii="仿宋_GB2312" w:hAnsi="仿宋_GB2312" w:eastAsia="仿宋_GB2312"/>
          <w:color w:val="auto"/>
          <w:sz w:val="32"/>
          <w:szCs w:val="32"/>
          <w:lang w:val="en-US" w:eastAsia="zh-CN"/>
        </w:rPr>
        <w:t>单位</w:t>
      </w:r>
      <w:r>
        <w:rPr>
          <w:rFonts w:hint="eastAsia" w:ascii="仿宋_GB2312" w:hAnsi="仿宋_GB2312" w:eastAsia="仿宋_GB2312"/>
          <w:color w:val="auto"/>
          <w:sz w:val="32"/>
          <w:szCs w:val="32"/>
        </w:rPr>
        <w:t>202</w:t>
      </w:r>
      <w:r>
        <w:rPr>
          <w:rFonts w:hint="eastAsia" w:ascii="仿宋_GB2312" w:hAnsi="仿宋_GB2312" w:eastAsia="仿宋_GB2312"/>
          <w:color w:val="auto"/>
          <w:sz w:val="32"/>
          <w:szCs w:val="32"/>
          <w:lang w:val="en-US" w:eastAsia="zh-CN"/>
        </w:rPr>
        <w:t>2</w:t>
      </w:r>
      <w:r>
        <w:rPr>
          <w:rFonts w:hint="eastAsia" w:ascii="仿宋_GB2312" w:hAnsi="仿宋_GB2312" w:eastAsia="仿宋_GB2312"/>
          <w:color w:val="auto"/>
          <w:sz w:val="32"/>
          <w:szCs w:val="32"/>
        </w:rPr>
        <w:t>年度政府采购支出总额</w:t>
      </w:r>
      <w:r>
        <w:rPr>
          <w:rFonts w:hint="eastAsia" w:ascii="仿宋_GB2312" w:hAnsi="仿宋_GB2312" w:eastAsia="仿宋_GB2312"/>
          <w:color w:val="auto"/>
          <w:sz w:val="32"/>
          <w:szCs w:val="32"/>
          <w:lang w:val="en-US" w:eastAsia="zh-CN"/>
        </w:rPr>
        <w:t>1.47</w:t>
      </w:r>
      <w:r>
        <w:rPr>
          <w:rFonts w:hint="eastAsia" w:ascii="仿宋_GB2312" w:hAnsi="仿宋_GB2312" w:eastAsia="仿宋_GB2312"/>
          <w:color w:val="auto"/>
          <w:sz w:val="32"/>
          <w:szCs w:val="32"/>
        </w:rPr>
        <w:t>万元，其中：政府采购货物支出</w:t>
      </w:r>
      <w:r>
        <w:rPr>
          <w:rFonts w:hint="eastAsia" w:ascii="仿宋_GB2312" w:hAnsi="仿宋_GB2312" w:eastAsia="仿宋_GB2312"/>
          <w:color w:val="auto"/>
          <w:sz w:val="32"/>
          <w:szCs w:val="32"/>
          <w:lang w:val="en-US" w:eastAsia="zh-CN"/>
        </w:rPr>
        <w:t>1.47</w:t>
      </w:r>
      <w:r>
        <w:rPr>
          <w:rFonts w:hint="eastAsia" w:ascii="仿宋_GB2312" w:hAnsi="仿宋_GB2312" w:eastAsia="仿宋_GB2312"/>
          <w:color w:val="auto"/>
          <w:sz w:val="32"/>
          <w:szCs w:val="32"/>
        </w:rPr>
        <w:t>万元、政府采购工程支出</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万元、政府采购服务支出</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万元。授予中小企业合同金额</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万元，占政府采购支出总额的</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%，其中：授予小微企业合同金额  万元，占授予中小企业合同金额的</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val="en-US" w:eastAsia="zh-CN"/>
        </w:rPr>
        <w:t>；货物采购授予中小企业合同金额占货物支出金额的0%，工程采购授予中小企业合同金额占工程支出金额的0%，服务采购授予中小企业合同金额占服务支出金额的0%。</w:t>
      </w:r>
    </w:p>
    <w:p w14:paraId="3AB7970E">
      <w:pPr>
        <w:ind w:firstLine="630"/>
        <w:jc w:val="left"/>
        <w:rPr>
          <w:rFonts w:hint="eastAsia" w:ascii="黑体" w:hAnsi="黑体" w:eastAsia="黑体"/>
          <w:sz w:val="32"/>
          <w:szCs w:val="32"/>
        </w:rPr>
      </w:pPr>
      <w:r>
        <w:rPr>
          <w:rFonts w:hint="eastAsia" w:ascii="黑体" w:hAnsi="黑体" w:eastAsia="黑体"/>
          <w:sz w:val="32"/>
          <w:szCs w:val="32"/>
        </w:rPr>
        <w:t>八、国有资产占用情况说明。</w:t>
      </w:r>
    </w:p>
    <w:p w14:paraId="148A85A6">
      <w:pPr>
        <w:ind w:firstLine="630"/>
        <w:jc w:val="left"/>
        <w:rPr>
          <w:rFonts w:hint="eastAsia" w:ascii="仿宋" w:hAnsi="仿宋" w:eastAsia="仿宋"/>
          <w:kern w:val="0"/>
          <w:sz w:val="32"/>
          <w:szCs w:val="32"/>
          <w:lang w:val="en-US" w:eastAsia="zh-CN"/>
        </w:rPr>
      </w:pPr>
      <w:r>
        <w:rPr>
          <w:rFonts w:hint="eastAsia" w:ascii="仿宋" w:hAnsi="仿宋" w:eastAsia="仿宋"/>
          <w:kern w:val="0"/>
          <w:sz w:val="32"/>
          <w:szCs w:val="32"/>
        </w:rPr>
        <w:t>截</w:t>
      </w:r>
      <w:r>
        <w:rPr>
          <w:rFonts w:hint="eastAsia" w:ascii="仿宋" w:hAnsi="仿宋" w:eastAsia="仿宋"/>
          <w:kern w:val="0"/>
          <w:sz w:val="32"/>
          <w:szCs w:val="32"/>
          <w:lang w:val="en-US" w:eastAsia="zh-CN"/>
        </w:rPr>
        <w:t>至</w:t>
      </w:r>
      <w:bookmarkStart w:id="0" w:name="_GoBack"/>
      <w:bookmarkEnd w:id="0"/>
      <w:r>
        <w:rPr>
          <w:rFonts w:hint="eastAsia" w:ascii="仿宋" w:hAnsi="仿宋" w:eastAsia="仿宋"/>
          <w:kern w:val="0"/>
          <w:sz w:val="32"/>
          <w:szCs w:val="32"/>
          <w:lang w:eastAsia="zh-CN"/>
        </w:rPr>
        <w:t>2022</w:t>
      </w:r>
      <w:r>
        <w:rPr>
          <w:rFonts w:hint="eastAsia" w:ascii="仿宋" w:hAnsi="仿宋" w:eastAsia="仿宋"/>
          <w:kern w:val="0"/>
          <w:sz w:val="32"/>
          <w:szCs w:val="32"/>
        </w:rPr>
        <w:t>年12月31日，本</w:t>
      </w:r>
      <w:r>
        <w:rPr>
          <w:rFonts w:hint="eastAsia" w:ascii="仿宋" w:hAnsi="仿宋" w:eastAsia="仿宋"/>
          <w:kern w:val="0"/>
          <w:sz w:val="32"/>
          <w:szCs w:val="32"/>
          <w:lang w:val="en-US" w:eastAsia="zh-CN"/>
        </w:rPr>
        <w:t>单位</w:t>
      </w:r>
      <w:r>
        <w:rPr>
          <w:rFonts w:hint="eastAsia" w:ascii="仿宋" w:hAnsi="仿宋" w:eastAsia="仿宋"/>
          <w:kern w:val="0"/>
          <w:sz w:val="32"/>
          <w:szCs w:val="32"/>
        </w:rPr>
        <w:t>国有资产占用情况见</w:t>
      </w:r>
      <w:r>
        <w:rPr>
          <w:rFonts w:hint="eastAsia" w:ascii="仿宋" w:hAnsi="仿宋" w:eastAsia="仿宋"/>
          <w:kern w:val="0"/>
          <w:sz w:val="32"/>
          <w:szCs w:val="32"/>
          <w:lang w:val="en-US" w:eastAsia="zh-CN"/>
        </w:rPr>
        <w:t>公开10</w:t>
      </w:r>
      <w:r>
        <w:rPr>
          <w:rFonts w:hint="eastAsia" w:ascii="仿宋" w:hAnsi="仿宋" w:eastAsia="仿宋"/>
          <w:kern w:val="0"/>
          <w:sz w:val="32"/>
          <w:szCs w:val="32"/>
        </w:rPr>
        <w:t>表《国有资产占用情况表》</w:t>
      </w:r>
      <w:r>
        <w:rPr>
          <w:rFonts w:hint="eastAsia" w:ascii="仿宋" w:hAnsi="仿宋" w:eastAsia="仿宋"/>
          <w:kern w:val="0"/>
          <w:sz w:val="32"/>
          <w:szCs w:val="32"/>
          <w:lang w:val="en-US" w:eastAsia="zh-CN"/>
        </w:rPr>
        <w:t>。本单位共有车辆0辆；单位价值50万元以上通用设备0台（套）；单位价值100万元以上专用设备0台（套）。</w:t>
      </w:r>
    </w:p>
    <w:p w14:paraId="0EFD56CC">
      <w:pPr>
        <w:ind w:firstLine="630"/>
        <w:jc w:val="left"/>
        <w:rPr>
          <w:rFonts w:hint="eastAsia" w:ascii="黑体" w:hAnsi="黑体" w:eastAsia="黑体"/>
          <w:sz w:val="32"/>
          <w:szCs w:val="32"/>
        </w:rPr>
      </w:pPr>
      <w:r>
        <w:rPr>
          <w:rFonts w:hint="eastAsia" w:ascii="黑体" w:hAnsi="黑体" w:eastAsia="黑体"/>
          <w:sz w:val="32"/>
          <w:szCs w:val="32"/>
        </w:rPr>
        <w:t>九、预算绩效情况说明</w:t>
      </w:r>
    </w:p>
    <w:p w14:paraId="1DFCB2FE">
      <w:pPr>
        <w:autoSpaceDE w:val="0"/>
        <w:autoSpaceDN w:val="0"/>
        <w:adjustRightInd w:val="0"/>
        <w:spacing w:line="360" w:lineRule="auto"/>
        <w:jc w:val="left"/>
        <w:rPr>
          <w:rFonts w:hint="eastAsia" w:ascii="仿宋" w:hAnsi="仿宋" w:eastAsia="仿宋" w:cs="仿宋_GB2312"/>
          <w:kern w:val="0"/>
          <w:sz w:val="32"/>
          <w:szCs w:val="32"/>
        </w:rPr>
      </w:pPr>
      <w:r>
        <w:rPr>
          <w:rFonts w:hint="eastAsia" w:ascii="仿宋" w:hAnsi="仿宋" w:eastAsia="仿宋" w:cs="仿宋_GB2312"/>
          <w:kern w:val="0"/>
          <w:sz w:val="32"/>
          <w:szCs w:val="32"/>
        </w:rPr>
        <w:t xml:space="preserve">   （一）绩效管理工作开展情况。</w:t>
      </w:r>
    </w:p>
    <w:p w14:paraId="09264D24">
      <w:pPr>
        <w:autoSpaceDE w:val="0"/>
        <w:autoSpaceDN w:val="0"/>
        <w:adjustRightInd w:val="0"/>
        <w:spacing w:line="360" w:lineRule="auto"/>
        <w:ind w:firstLine="640" w:firstLineChars="200"/>
        <w:jc w:val="left"/>
        <w:rPr>
          <w:rFonts w:hint="eastAsia" w:ascii="仿宋" w:hAnsi="仿宋" w:eastAsia="仿宋" w:cs="仿宋_GB2312"/>
          <w:kern w:val="0"/>
          <w:sz w:val="32"/>
          <w:szCs w:val="32"/>
        </w:rPr>
      </w:pPr>
      <w:r>
        <w:rPr>
          <w:rFonts w:hint="eastAsia" w:ascii="仿宋" w:hAnsi="仿宋" w:eastAsia="仿宋" w:cs="仿宋_GB2312"/>
          <w:kern w:val="0"/>
          <w:sz w:val="32"/>
          <w:szCs w:val="32"/>
        </w:rPr>
        <w:t>根据预算绩效管理要求，我</w:t>
      </w:r>
      <w:r>
        <w:rPr>
          <w:rFonts w:hint="eastAsia" w:ascii="仿宋" w:hAnsi="仿宋" w:eastAsia="仿宋" w:cs="仿宋_GB2312"/>
          <w:kern w:val="0"/>
          <w:sz w:val="32"/>
          <w:szCs w:val="32"/>
          <w:lang w:val="en-US" w:eastAsia="zh-CN"/>
        </w:rPr>
        <w:t>单位组织对纳入</w:t>
      </w:r>
      <w:r>
        <w:rPr>
          <w:rFonts w:hint="eastAsia" w:ascii="仿宋" w:hAnsi="仿宋" w:eastAsia="仿宋" w:cs="仿宋_GB2312"/>
          <w:kern w:val="0"/>
          <w:sz w:val="32"/>
          <w:szCs w:val="32"/>
          <w:lang w:eastAsia="zh-CN"/>
        </w:rPr>
        <w:t>2022</w:t>
      </w:r>
      <w:r>
        <w:rPr>
          <w:rFonts w:hint="eastAsia" w:ascii="仿宋" w:hAnsi="仿宋" w:eastAsia="仿宋" w:cs="仿宋_GB2312"/>
          <w:kern w:val="0"/>
          <w:sz w:val="32"/>
          <w:szCs w:val="32"/>
        </w:rPr>
        <w:t>年度</w:t>
      </w:r>
      <w:r>
        <w:rPr>
          <w:rFonts w:hint="eastAsia" w:ascii="仿宋" w:hAnsi="仿宋" w:eastAsia="仿宋" w:cs="仿宋_GB2312"/>
          <w:kern w:val="0"/>
          <w:sz w:val="32"/>
          <w:szCs w:val="32"/>
          <w:lang w:val="en-US" w:eastAsia="zh-CN"/>
        </w:rPr>
        <w:t>部门预算范围的二级项目17个</w:t>
      </w:r>
      <w:r>
        <w:rPr>
          <w:rFonts w:hint="eastAsia" w:ascii="仿宋" w:hAnsi="仿宋" w:eastAsia="仿宋" w:cs="仿宋_GB2312"/>
          <w:kern w:val="0"/>
          <w:sz w:val="32"/>
          <w:szCs w:val="32"/>
        </w:rPr>
        <w:t>全面开展绩效自评，共涉及资金</w:t>
      </w:r>
      <w:r>
        <w:rPr>
          <w:rFonts w:hint="eastAsia" w:ascii="仿宋" w:hAnsi="仿宋" w:eastAsia="仿宋" w:cs="仿宋_GB2312"/>
          <w:kern w:val="0"/>
          <w:sz w:val="32"/>
          <w:szCs w:val="32"/>
          <w:lang w:val="en-US" w:eastAsia="zh-CN"/>
        </w:rPr>
        <w:t>4156.39</w:t>
      </w:r>
      <w:r>
        <w:rPr>
          <w:rFonts w:hint="eastAsia" w:ascii="仿宋" w:hAnsi="仿宋" w:eastAsia="仿宋" w:cs="仿宋_GB2312"/>
          <w:kern w:val="0"/>
          <w:sz w:val="32"/>
          <w:szCs w:val="32"/>
        </w:rPr>
        <w:t>万元，占项目支出总额的</w:t>
      </w:r>
      <w:r>
        <w:rPr>
          <w:rFonts w:hint="eastAsia" w:ascii="仿宋" w:hAnsi="仿宋" w:eastAsia="仿宋" w:cs="仿宋_GB2312"/>
          <w:kern w:val="0"/>
          <w:sz w:val="32"/>
          <w:szCs w:val="32"/>
          <w:lang w:val="en-US" w:eastAsia="zh-CN"/>
        </w:rPr>
        <w:t>81.1</w:t>
      </w:r>
      <w:r>
        <w:rPr>
          <w:rFonts w:hint="eastAsia" w:ascii="仿宋" w:hAnsi="仿宋" w:eastAsia="仿宋" w:cs="仿宋_GB2312"/>
          <w:kern w:val="0"/>
          <w:sz w:val="32"/>
          <w:szCs w:val="32"/>
        </w:rPr>
        <w:t xml:space="preserve">%。    </w:t>
      </w:r>
    </w:p>
    <w:p w14:paraId="11F2C464">
      <w:pPr>
        <w:autoSpaceDE w:val="0"/>
        <w:autoSpaceDN w:val="0"/>
        <w:adjustRightInd w:val="0"/>
        <w:spacing w:line="360" w:lineRule="auto"/>
        <w:ind w:firstLine="640" w:firstLineChars="200"/>
        <w:jc w:val="left"/>
        <w:rPr>
          <w:rFonts w:hint="eastAsia" w:ascii="仿宋" w:hAnsi="仿宋" w:eastAsia="仿宋" w:cs="仿宋_GB2312"/>
          <w:kern w:val="0"/>
          <w:sz w:val="32"/>
          <w:szCs w:val="32"/>
        </w:rPr>
      </w:pPr>
      <w:r>
        <w:rPr>
          <w:rFonts w:hint="eastAsia" w:ascii="仿宋" w:hAnsi="仿宋" w:eastAsia="仿宋" w:cs="仿宋_GB2312"/>
          <w:kern w:val="0"/>
          <w:sz w:val="32"/>
          <w:szCs w:val="32"/>
        </w:rPr>
        <w:t>（二）</w:t>
      </w:r>
      <w:r>
        <w:rPr>
          <w:rFonts w:hint="eastAsia" w:ascii="仿宋" w:hAnsi="仿宋" w:eastAsia="仿宋" w:cs="仿宋_GB2312"/>
          <w:kern w:val="0"/>
          <w:sz w:val="32"/>
          <w:szCs w:val="32"/>
          <w:lang w:val="en-US" w:eastAsia="zh-CN"/>
        </w:rPr>
        <w:t>单位</w:t>
      </w:r>
      <w:r>
        <w:rPr>
          <w:rFonts w:hint="eastAsia" w:ascii="仿宋" w:hAnsi="仿宋" w:eastAsia="仿宋" w:cs="仿宋_GB2312"/>
          <w:kern w:val="0"/>
          <w:sz w:val="32"/>
          <w:szCs w:val="32"/>
        </w:rPr>
        <w:t>决算中项目绩效自评</w:t>
      </w:r>
      <w:r>
        <w:rPr>
          <w:rFonts w:hint="eastAsia" w:ascii="仿宋" w:hAnsi="仿宋" w:eastAsia="仿宋" w:cs="仿宋_GB2312"/>
          <w:kern w:val="0"/>
          <w:sz w:val="32"/>
          <w:szCs w:val="32"/>
          <w:lang w:val="en-US" w:eastAsia="zh-CN"/>
        </w:rPr>
        <w:t>情况</w:t>
      </w:r>
      <w:r>
        <w:rPr>
          <w:rFonts w:hint="eastAsia" w:ascii="仿宋" w:hAnsi="仿宋" w:eastAsia="仿宋" w:cs="仿宋_GB2312"/>
          <w:kern w:val="0"/>
          <w:sz w:val="32"/>
          <w:szCs w:val="32"/>
        </w:rPr>
        <w:t>。</w:t>
      </w:r>
    </w:p>
    <w:p w14:paraId="0126FD4F">
      <w:pPr>
        <w:autoSpaceDE w:val="0"/>
        <w:autoSpaceDN w:val="0"/>
        <w:adjustRightInd w:val="0"/>
        <w:spacing w:line="360" w:lineRule="auto"/>
        <w:ind w:firstLine="640" w:firstLineChars="200"/>
        <w:jc w:val="left"/>
        <w:rPr>
          <w:rFonts w:hint="eastAsia" w:ascii="仿宋" w:hAnsi="仿宋" w:eastAsia="仿宋" w:cs="仿宋_GB2312"/>
          <w:kern w:val="0"/>
          <w:sz w:val="32"/>
          <w:szCs w:val="32"/>
          <w:lang w:val="en-US" w:eastAsia="zh-CN"/>
        </w:rPr>
      </w:pPr>
      <w:r>
        <w:rPr>
          <w:rFonts w:hint="eastAsia" w:ascii="仿宋" w:hAnsi="仿宋" w:eastAsia="仿宋" w:cs="仿宋_GB2312"/>
          <w:kern w:val="0"/>
          <w:sz w:val="32"/>
          <w:szCs w:val="32"/>
          <w:lang w:val="en-US" w:eastAsia="zh-CN"/>
        </w:rPr>
        <w:t>随军家属安置经费</w:t>
      </w:r>
      <w:r>
        <w:rPr>
          <w:rFonts w:hint="eastAsia" w:ascii="仿宋" w:hAnsi="仿宋" w:eastAsia="仿宋" w:cs="仿宋_GB2312"/>
          <w:kern w:val="0"/>
          <w:sz w:val="32"/>
          <w:szCs w:val="32"/>
        </w:rPr>
        <w:t>项目绩效自评综述</w:t>
      </w:r>
      <w:r>
        <w:rPr>
          <w:rFonts w:hint="eastAsia" w:ascii="仿宋" w:hAnsi="仿宋" w:eastAsia="仿宋" w:cs="仿宋_GB2312"/>
          <w:kern w:val="0"/>
          <w:sz w:val="32"/>
          <w:szCs w:val="32"/>
          <w:lang w:eastAsia="zh-CN"/>
        </w:rPr>
        <w:t>：</w:t>
      </w:r>
      <w:r>
        <w:rPr>
          <w:rFonts w:hint="eastAsia" w:ascii="仿宋" w:hAnsi="仿宋" w:eastAsia="仿宋" w:cs="仿宋_GB2312"/>
          <w:kern w:val="0"/>
          <w:sz w:val="32"/>
          <w:szCs w:val="32"/>
        </w:rPr>
        <w:t>项目全年预算数为</w:t>
      </w:r>
      <w:r>
        <w:rPr>
          <w:rFonts w:hint="eastAsia" w:ascii="仿宋" w:hAnsi="仿宋" w:eastAsia="仿宋" w:cs="仿宋_GB2312"/>
          <w:kern w:val="0"/>
          <w:sz w:val="32"/>
          <w:szCs w:val="32"/>
          <w:lang w:val="en-US" w:eastAsia="zh-CN"/>
        </w:rPr>
        <w:t>68</w:t>
      </w:r>
      <w:r>
        <w:rPr>
          <w:rFonts w:hint="eastAsia" w:ascii="仿宋" w:hAnsi="仿宋" w:eastAsia="仿宋" w:cs="仿宋_GB2312"/>
          <w:kern w:val="0"/>
          <w:sz w:val="32"/>
          <w:szCs w:val="32"/>
        </w:rPr>
        <w:t>万元，执行数为</w:t>
      </w:r>
      <w:r>
        <w:rPr>
          <w:rFonts w:hint="eastAsia" w:ascii="仿宋" w:hAnsi="仿宋" w:eastAsia="仿宋" w:cs="仿宋_GB2312"/>
          <w:kern w:val="0"/>
          <w:sz w:val="32"/>
          <w:szCs w:val="32"/>
          <w:lang w:val="en-US" w:eastAsia="zh-CN"/>
        </w:rPr>
        <w:t>68</w:t>
      </w:r>
      <w:r>
        <w:rPr>
          <w:rFonts w:hint="eastAsia" w:ascii="仿宋" w:hAnsi="仿宋" w:eastAsia="仿宋" w:cs="仿宋_GB2312"/>
          <w:kern w:val="0"/>
          <w:sz w:val="32"/>
          <w:szCs w:val="32"/>
        </w:rPr>
        <w:t>万元，完成预算的</w:t>
      </w:r>
      <w:r>
        <w:rPr>
          <w:rFonts w:hint="eastAsia" w:ascii="仿宋" w:hAnsi="仿宋" w:eastAsia="仿宋" w:cs="仿宋_GB2312"/>
          <w:kern w:val="0"/>
          <w:sz w:val="32"/>
          <w:szCs w:val="32"/>
          <w:lang w:val="en-US" w:eastAsia="zh-CN"/>
        </w:rPr>
        <w:t>100</w:t>
      </w:r>
      <w:r>
        <w:rPr>
          <w:rFonts w:hint="eastAsia" w:ascii="仿宋" w:hAnsi="仿宋" w:eastAsia="仿宋" w:cs="仿宋_GB2312"/>
          <w:kern w:val="0"/>
          <w:sz w:val="32"/>
          <w:szCs w:val="32"/>
        </w:rPr>
        <w:t>%。</w:t>
      </w:r>
      <w:r>
        <w:rPr>
          <w:rFonts w:hint="eastAsia" w:ascii="仿宋" w:hAnsi="仿宋" w:eastAsia="仿宋" w:cs="仿宋_GB2312"/>
          <w:kern w:val="0"/>
          <w:sz w:val="32"/>
          <w:szCs w:val="32"/>
          <w:lang w:val="en-US" w:eastAsia="zh-CN"/>
        </w:rPr>
        <w:t>项目绩效目标完成情况是</w:t>
      </w:r>
      <w:r>
        <w:rPr>
          <w:rFonts w:hint="eastAsia" w:ascii="仿宋" w:hAnsi="仿宋" w:eastAsia="仿宋" w:cs="仿宋_GB2312"/>
          <w:kern w:val="0"/>
          <w:sz w:val="32"/>
          <w:szCs w:val="32"/>
        </w:rPr>
        <w:t>：</w:t>
      </w:r>
      <w:r>
        <w:rPr>
          <w:rFonts w:hint="eastAsia" w:ascii="仿宋" w:hAnsi="仿宋" w:eastAsia="仿宋" w:cs="仿宋_GB2312"/>
          <w:kern w:val="0"/>
          <w:sz w:val="32"/>
          <w:szCs w:val="32"/>
          <w:lang w:val="en-US" w:eastAsia="zh-CN"/>
        </w:rPr>
        <w:t>完成发放83名随军家属安置经费</w:t>
      </w:r>
      <w:r>
        <w:rPr>
          <w:rFonts w:hint="eastAsia" w:ascii="仿宋" w:hAnsi="仿宋" w:eastAsia="仿宋" w:cs="仿宋_GB2312"/>
          <w:kern w:val="0"/>
          <w:sz w:val="32"/>
          <w:szCs w:val="32"/>
        </w:rPr>
        <w:t>。发现的问题及原因：</w:t>
      </w:r>
      <w:r>
        <w:rPr>
          <w:rFonts w:hint="eastAsia" w:ascii="仿宋" w:hAnsi="仿宋" w:eastAsia="仿宋" w:cs="仿宋_GB2312"/>
          <w:kern w:val="0"/>
          <w:sz w:val="32"/>
          <w:szCs w:val="32"/>
          <w:lang w:val="en-US" w:eastAsia="zh-CN"/>
        </w:rPr>
        <w:t>无相关问题，完成情况良好。</w:t>
      </w:r>
    </w:p>
    <w:p w14:paraId="66EA98A4">
      <w:pPr>
        <w:pStyle w:val="2"/>
        <w:rPr>
          <w:rFonts w:hint="eastAsia" w:ascii="仿宋" w:hAnsi="仿宋" w:eastAsia="仿宋" w:cs="仿宋_GB2312"/>
          <w:kern w:val="0"/>
          <w:sz w:val="32"/>
          <w:szCs w:val="32"/>
          <w:lang w:val="en-US" w:eastAsia="zh-CN"/>
        </w:rPr>
      </w:pPr>
    </w:p>
    <w:p w14:paraId="3F29389A">
      <w:pPr>
        <w:pStyle w:val="2"/>
        <w:ind w:firstLine="640" w:firstLineChars="200"/>
        <w:rPr>
          <w:rFonts w:hint="eastAsia" w:ascii="仿宋" w:hAnsi="仿宋" w:eastAsia="仿宋" w:cs="仿宋_GB2312"/>
          <w:kern w:val="0"/>
          <w:sz w:val="32"/>
          <w:szCs w:val="32"/>
          <w:lang w:val="en-US" w:eastAsia="zh-CN"/>
        </w:rPr>
      </w:pPr>
    </w:p>
    <w:p w14:paraId="5628AA37">
      <w:pPr>
        <w:pStyle w:val="2"/>
        <w:ind w:firstLine="640" w:firstLineChars="200"/>
        <w:rPr>
          <w:rFonts w:hint="eastAsia" w:ascii="仿宋" w:hAnsi="仿宋" w:eastAsia="仿宋" w:cs="仿宋_GB2312"/>
          <w:kern w:val="0"/>
          <w:sz w:val="32"/>
          <w:szCs w:val="32"/>
          <w:lang w:val="en-US" w:eastAsia="zh-CN"/>
        </w:rPr>
      </w:pPr>
    </w:p>
    <w:p w14:paraId="4AED7040">
      <w:pPr>
        <w:pStyle w:val="2"/>
        <w:ind w:firstLine="640" w:firstLineChars="200"/>
        <w:rPr>
          <w:rFonts w:hint="eastAsia" w:ascii="仿宋" w:hAnsi="仿宋" w:eastAsia="仿宋" w:cs="仿宋_GB2312"/>
          <w:kern w:val="0"/>
          <w:sz w:val="32"/>
          <w:szCs w:val="32"/>
          <w:lang w:val="en-US" w:eastAsia="zh-CN"/>
        </w:rPr>
      </w:pPr>
    </w:p>
    <w:p w14:paraId="0BA17CDB">
      <w:pPr>
        <w:pStyle w:val="2"/>
        <w:ind w:firstLine="640" w:firstLineChars="200"/>
        <w:rPr>
          <w:rFonts w:hint="eastAsia" w:ascii="仿宋" w:hAnsi="仿宋" w:eastAsia="仿宋" w:cs="仿宋_GB2312"/>
          <w:kern w:val="0"/>
          <w:sz w:val="32"/>
          <w:szCs w:val="32"/>
          <w:lang w:val="en-US" w:eastAsia="zh-CN"/>
        </w:rPr>
      </w:pPr>
    </w:p>
    <w:p w14:paraId="0A1300BE">
      <w:pPr>
        <w:pStyle w:val="2"/>
        <w:ind w:firstLine="640" w:firstLineChars="200"/>
        <w:rPr>
          <w:rFonts w:hint="default" w:eastAsia="宋体"/>
          <w:sz w:val="22"/>
          <w:szCs w:val="22"/>
          <w:lang w:val="en-US" w:eastAsia="zh-CN"/>
        </w:rPr>
      </w:pPr>
      <w:r>
        <w:rPr>
          <w:rFonts w:hint="eastAsia" w:ascii="仿宋" w:hAnsi="仿宋" w:eastAsia="仿宋" w:cs="仿宋_GB2312"/>
          <w:kern w:val="0"/>
          <w:sz w:val="32"/>
          <w:szCs w:val="32"/>
          <w:lang w:val="en-US" w:eastAsia="zh-CN"/>
        </w:rPr>
        <w:t>附：《项目支出绩效自评表》</w:t>
      </w:r>
    </w:p>
    <w:tbl>
      <w:tblPr>
        <w:tblStyle w:val="4"/>
        <w:tblW w:w="9080" w:type="dxa"/>
        <w:jc w:val="center"/>
        <w:tblLayout w:type="fixed"/>
        <w:tblCellMar>
          <w:top w:w="0" w:type="dxa"/>
          <w:left w:w="108" w:type="dxa"/>
          <w:bottom w:w="0" w:type="dxa"/>
          <w:right w:w="108" w:type="dxa"/>
        </w:tblCellMar>
      </w:tblPr>
      <w:tblGrid>
        <w:gridCol w:w="588"/>
        <w:gridCol w:w="980"/>
        <w:gridCol w:w="1112"/>
        <w:gridCol w:w="985"/>
        <w:gridCol w:w="1033"/>
        <w:gridCol w:w="200"/>
        <w:gridCol w:w="650"/>
        <w:gridCol w:w="981"/>
        <w:gridCol w:w="283"/>
        <w:gridCol w:w="284"/>
        <w:gridCol w:w="425"/>
        <w:gridCol w:w="142"/>
        <w:gridCol w:w="709"/>
        <w:gridCol w:w="708"/>
      </w:tblGrid>
      <w:tr w14:paraId="056A0CA1">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noWrap w:val="0"/>
            <w:vAlign w:val="top"/>
          </w:tcPr>
          <w:p w14:paraId="6D7EAD95">
            <w:pPr>
              <w:widowControl/>
              <w:jc w:val="center"/>
              <w:rPr>
                <w:rFonts w:hint="eastAsia" w:ascii="宋体" w:hAnsi="宋体" w:eastAsia="宋体" w:cs="宋体"/>
                <w:kern w:val="0"/>
                <w:sz w:val="24"/>
                <w:szCs w:val="24"/>
              </w:rPr>
            </w:pPr>
            <w:r>
              <w:rPr>
                <w:rFonts w:hint="eastAsia" w:ascii="宋体" w:hAnsi="宋体" w:eastAsia="宋体" w:cs="宋体"/>
                <w:b/>
                <w:bCs/>
                <w:kern w:val="0"/>
                <w:sz w:val="36"/>
                <w:szCs w:val="36"/>
              </w:rPr>
              <w:t>项目支出绩效自评表</w:t>
            </w:r>
          </w:p>
          <w:p w14:paraId="59D6403E">
            <w:pPr>
              <w:widowControl/>
              <w:jc w:val="center"/>
              <w:rPr>
                <w:rFonts w:ascii="宋体" w:hAnsi="宋体" w:eastAsia="宋体" w:cs="宋体"/>
                <w:kern w:val="0"/>
                <w:sz w:val="24"/>
                <w:szCs w:val="24"/>
              </w:rPr>
            </w:pPr>
            <w:r>
              <w:rPr>
                <w:rFonts w:hint="eastAsia" w:ascii="宋体" w:hAnsi="宋体" w:eastAsia="宋体" w:cs="宋体"/>
                <w:kern w:val="0"/>
                <w:sz w:val="24"/>
                <w:szCs w:val="24"/>
              </w:rPr>
              <w:t>（</w:t>
            </w:r>
            <w:r>
              <w:rPr>
                <w:rFonts w:hint="eastAsia" w:ascii="宋体" w:hAnsi="宋体" w:cs="宋体"/>
                <w:kern w:val="0"/>
                <w:sz w:val="24"/>
                <w:szCs w:val="24"/>
                <w:lang w:val="en-US" w:eastAsia="zh-CN"/>
              </w:rPr>
              <w:t>2022</w:t>
            </w:r>
            <w:r>
              <w:rPr>
                <w:rFonts w:hint="eastAsia" w:ascii="宋体" w:hAnsi="宋体" w:eastAsia="宋体" w:cs="宋体"/>
                <w:kern w:val="0"/>
                <w:sz w:val="24"/>
                <w:szCs w:val="24"/>
              </w:rPr>
              <w:t>年度）</w:t>
            </w:r>
          </w:p>
        </w:tc>
      </w:tr>
      <w:tr w14:paraId="1AD943E1">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6E0BED45">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14:paraId="2DF561EF">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随军家属安置经费</w:t>
            </w:r>
          </w:p>
        </w:tc>
      </w:tr>
      <w:tr w14:paraId="752F8BB1">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6E804C3C">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主管部门</w:t>
            </w:r>
          </w:p>
        </w:tc>
        <w:tc>
          <w:tcPr>
            <w:tcW w:w="3980" w:type="dxa"/>
            <w:gridSpan w:val="5"/>
            <w:tcBorders>
              <w:top w:val="single" w:color="auto" w:sz="4" w:space="0"/>
              <w:left w:val="nil"/>
              <w:bottom w:val="single" w:color="auto" w:sz="4" w:space="0"/>
              <w:right w:val="single" w:color="auto" w:sz="4" w:space="0"/>
            </w:tcBorders>
            <w:noWrap w:val="0"/>
            <w:vAlign w:val="center"/>
          </w:tcPr>
          <w:p w14:paraId="6E4A790E">
            <w:pPr>
              <w:widowControl/>
              <w:spacing w:line="24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景德镇市退役军人事务局</w:t>
            </w:r>
          </w:p>
        </w:tc>
        <w:tc>
          <w:tcPr>
            <w:tcW w:w="1264" w:type="dxa"/>
            <w:gridSpan w:val="2"/>
            <w:tcBorders>
              <w:top w:val="nil"/>
              <w:left w:val="nil"/>
              <w:bottom w:val="single" w:color="auto" w:sz="4" w:space="0"/>
              <w:right w:val="single" w:color="auto" w:sz="4" w:space="0"/>
            </w:tcBorders>
            <w:noWrap w:val="0"/>
            <w:vAlign w:val="center"/>
          </w:tcPr>
          <w:p w14:paraId="17AB68D4">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14:paraId="717A9DC0">
            <w:pPr>
              <w:widowControl/>
              <w:spacing w:line="24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景德镇市退役军人事务局</w:t>
            </w:r>
          </w:p>
        </w:tc>
      </w:tr>
      <w:tr w14:paraId="7E4EA484">
        <w:tblPrEx>
          <w:tblCellMar>
            <w:top w:w="0" w:type="dxa"/>
            <w:left w:w="108" w:type="dxa"/>
            <w:bottom w:w="0" w:type="dxa"/>
            <w:right w:w="108" w:type="dxa"/>
          </w:tblCellMar>
        </w:tblPrEx>
        <w:trPr>
          <w:trHeight w:val="597"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4657AA25">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项目资金</w:t>
            </w:r>
            <w:r>
              <w:rPr>
                <w:rFonts w:hint="eastAsia" w:ascii="宋体" w:hAnsi="宋体" w:eastAsia="宋体" w:cs="宋体"/>
                <w:kern w:val="0"/>
                <w:sz w:val="20"/>
                <w:szCs w:val="20"/>
              </w:rPr>
              <w:br w:type="textWrapping"/>
            </w:r>
            <w:r>
              <w:rPr>
                <w:rFonts w:hint="eastAsia" w:ascii="宋体" w:hAnsi="宋体" w:eastAsia="宋体" w:cs="宋体"/>
                <w:kern w:val="0"/>
                <w:sz w:val="20"/>
                <w:szCs w:val="20"/>
              </w:rPr>
              <w:t>（万元）</w:t>
            </w:r>
          </w:p>
        </w:tc>
        <w:tc>
          <w:tcPr>
            <w:tcW w:w="2097" w:type="dxa"/>
            <w:gridSpan w:val="2"/>
            <w:tcBorders>
              <w:top w:val="single" w:color="auto" w:sz="4" w:space="0"/>
              <w:left w:val="nil"/>
              <w:bottom w:val="single" w:color="auto" w:sz="4" w:space="0"/>
              <w:right w:val="single" w:color="auto" w:sz="4" w:space="0"/>
            </w:tcBorders>
            <w:noWrap w:val="0"/>
            <w:vAlign w:val="center"/>
          </w:tcPr>
          <w:p w14:paraId="46716506">
            <w:pPr>
              <w:widowControl/>
              <w:spacing w:line="240" w:lineRule="exact"/>
              <w:jc w:val="center"/>
              <w:rPr>
                <w:rFonts w:ascii="宋体" w:hAnsi="宋体" w:eastAsia="宋体" w:cs="宋体"/>
                <w:kern w:val="0"/>
                <w:sz w:val="20"/>
                <w:szCs w:val="20"/>
              </w:rPr>
            </w:pPr>
          </w:p>
        </w:tc>
        <w:tc>
          <w:tcPr>
            <w:tcW w:w="1033" w:type="dxa"/>
            <w:tcBorders>
              <w:top w:val="nil"/>
              <w:left w:val="nil"/>
              <w:bottom w:val="single" w:color="auto" w:sz="4" w:space="0"/>
              <w:right w:val="single" w:color="auto" w:sz="4" w:space="0"/>
            </w:tcBorders>
            <w:noWrap w:val="0"/>
            <w:vAlign w:val="center"/>
          </w:tcPr>
          <w:p w14:paraId="4C29FE8F">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年初预算数</w:t>
            </w:r>
          </w:p>
        </w:tc>
        <w:tc>
          <w:tcPr>
            <w:tcW w:w="850" w:type="dxa"/>
            <w:gridSpan w:val="2"/>
            <w:tcBorders>
              <w:top w:val="nil"/>
              <w:left w:val="nil"/>
              <w:bottom w:val="single" w:color="auto" w:sz="4" w:space="0"/>
              <w:right w:val="single" w:color="auto" w:sz="4" w:space="0"/>
            </w:tcBorders>
            <w:noWrap w:val="0"/>
            <w:vAlign w:val="center"/>
          </w:tcPr>
          <w:p w14:paraId="3B4398E1">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全年预算数</w:t>
            </w:r>
          </w:p>
        </w:tc>
        <w:tc>
          <w:tcPr>
            <w:tcW w:w="1264" w:type="dxa"/>
            <w:gridSpan w:val="2"/>
            <w:tcBorders>
              <w:top w:val="nil"/>
              <w:left w:val="nil"/>
              <w:bottom w:val="single" w:color="auto" w:sz="4" w:space="0"/>
              <w:right w:val="single" w:color="auto" w:sz="4" w:space="0"/>
            </w:tcBorders>
            <w:noWrap w:val="0"/>
            <w:vAlign w:val="center"/>
          </w:tcPr>
          <w:p w14:paraId="01DCAC36">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全年执行数</w:t>
            </w:r>
          </w:p>
        </w:tc>
        <w:tc>
          <w:tcPr>
            <w:tcW w:w="709" w:type="dxa"/>
            <w:gridSpan w:val="2"/>
            <w:tcBorders>
              <w:top w:val="nil"/>
              <w:left w:val="nil"/>
              <w:bottom w:val="single" w:color="auto" w:sz="4" w:space="0"/>
              <w:right w:val="single" w:color="auto" w:sz="4" w:space="0"/>
            </w:tcBorders>
            <w:noWrap w:val="0"/>
            <w:vAlign w:val="center"/>
          </w:tcPr>
          <w:p w14:paraId="0B550FDA">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分值</w:t>
            </w:r>
          </w:p>
        </w:tc>
        <w:tc>
          <w:tcPr>
            <w:tcW w:w="851" w:type="dxa"/>
            <w:gridSpan w:val="2"/>
            <w:tcBorders>
              <w:top w:val="single" w:color="auto" w:sz="4" w:space="0"/>
              <w:left w:val="nil"/>
              <w:bottom w:val="single" w:color="auto" w:sz="4" w:space="0"/>
              <w:right w:val="single" w:color="auto" w:sz="4" w:space="0"/>
            </w:tcBorders>
            <w:noWrap w:val="0"/>
            <w:vAlign w:val="center"/>
          </w:tcPr>
          <w:p w14:paraId="10A2B06B">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执行率</w:t>
            </w:r>
          </w:p>
        </w:tc>
        <w:tc>
          <w:tcPr>
            <w:tcW w:w="708" w:type="dxa"/>
            <w:tcBorders>
              <w:top w:val="nil"/>
              <w:left w:val="nil"/>
              <w:bottom w:val="single" w:color="auto" w:sz="4" w:space="0"/>
              <w:right w:val="single" w:color="auto" w:sz="4" w:space="0"/>
            </w:tcBorders>
            <w:noWrap w:val="0"/>
            <w:vAlign w:val="center"/>
          </w:tcPr>
          <w:p w14:paraId="211DA8CC">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得分</w:t>
            </w:r>
          </w:p>
        </w:tc>
      </w:tr>
      <w:tr w14:paraId="10174FEC">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24A36F39">
            <w:pPr>
              <w:widowControl/>
              <w:spacing w:line="240" w:lineRule="exact"/>
              <w:jc w:val="center"/>
              <w:rPr>
                <w:rFonts w:ascii="宋体" w:hAnsi="宋体" w:eastAsia="宋体" w:cs="宋体"/>
                <w:kern w:val="0"/>
                <w:sz w:val="20"/>
                <w:szCs w:val="20"/>
              </w:rPr>
            </w:pPr>
          </w:p>
        </w:tc>
        <w:tc>
          <w:tcPr>
            <w:tcW w:w="2097" w:type="dxa"/>
            <w:gridSpan w:val="2"/>
            <w:tcBorders>
              <w:top w:val="single" w:color="auto" w:sz="4" w:space="0"/>
              <w:left w:val="nil"/>
              <w:bottom w:val="single" w:color="auto" w:sz="4" w:space="0"/>
              <w:right w:val="single" w:color="auto" w:sz="4" w:space="0"/>
            </w:tcBorders>
            <w:noWrap w:val="0"/>
            <w:vAlign w:val="center"/>
          </w:tcPr>
          <w:p w14:paraId="1E3A4546">
            <w:pPr>
              <w:widowControl/>
              <w:spacing w:line="240" w:lineRule="exact"/>
              <w:rPr>
                <w:rFonts w:ascii="宋体" w:hAnsi="宋体" w:eastAsia="宋体" w:cs="宋体"/>
                <w:kern w:val="0"/>
                <w:sz w:val="20"/>
                <w:szCs w:val="20"/>
              </w:rPr>
            </w:pPr>
            <w:r>
              <w:rPr>
                <w:rFonts w:hint="eastAsia" w:ascii="宋体" w:hAnsi="宋体" w:eastAsia="宋体" w:cs="宋体"/>
                <w:kern w:val="0"/>
                <w:sz w:val="20"/>
                <w:szCs w:val="20"/>
              </w:rPr>
              <w:t>年度资金总额</w:t>
            </w:r>
          </w:p>
        </w:tc>
        <w:tc>
          <w:tcPr>
            <w:tcW w:w="1033" w:type="dxa"/>
            <w:tcBorders>
              <w:top w:val="nil"/>
              <w:left w:val="nil"/>
              <w:bottom w:val="single" w:color="auto" w:sz="4" w:space="0"/>
              <w:right w:val="single" w:color="auto" w:sz="4" w:space="0"/>
            </w:tcBorders>
            <w:noWrap w:val="0"/>
            <w:vAlign w:val="center"/>
          </w:tcPr>
          <w:p w14:paraId="5ED75482">
            <w:pPr>
              <w:widowControl/>
              <w:spacing w:line="240" w:lineRule="exact"/>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68</w:t>
            </w:r>
          </w:p>
        </w:tc>
        <w:tc>
          <w:tcPr>
            <w:tcW w:w="850" w:type="dxa"/>
            <w:gridSpan w:val="2"/>
            <w:tcBorders>
              <w:top w:val="nil"/>
              <w:left w:val="nil"/>
              <w:bottom w:val="single" w:color="auto" w:sz="4" w:space="0"/>
              <w:right w:val="single" w:color="auto" w:sz="4" w:space="0"/>
            </w:tcBorders>
            <w:noWrap w:val="0"/>
            <w:vAlign w:val="center"/>
          </w:tcPr>
          <w:p w14:paraId="175C0163">
            <w:pPr>
              <w:widowControl/>
              <w:spacing w:line="240" w:lineRule="exact"/>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68</w:t>
            </w:r>
          </w:p>
        </w:tc>
        <w:tc>
          <w:tcPr>
            <w:tcW w:w="1264" w:type="dxa"/>
            <w:gridSpan w:val="2"/>
            <w:tcBorders>
              <w:top w:val="nil"/>
              <w:left w:val="nil"/>
              <w:bottom w:val="single" w:color="auto" w:sz="4" w:space="0"/>
              <w:right w:val="single" w:color="auto" w:sz="4" w:space="0"/>
            </w:tcBorders>
            <w:noWrap w:val="0"/>
            <w:vAlign w:val="center"/>
          </w:tcPr>
          <w:p w14:paraId="30A3ED3B">
            <w:pPr>
              <w:widowControl/>
              <w:spacing w:line="240" w:lineRule="exact"/>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68</w:t>
            </w:r>
          </w:p>
        </w:tc>
        <w:tc>
          <w:tcPr>
            <w:tcW w:w="709" w:type="dxa"/>
            <w:gridSpan w:val="2"/>
            <w:tcBorders>
              <w:top w:val="nil"/>
              <w:left w:val="nil"/>
              <w:bottom w:val="single" w:color="auto" w:sz="4" w:space="0"/>
              <w:right w:val="single" w:color="auto" w:sz="4" w:space="0"/>
            </w:tcBorders>
            <w:noWrap w:val="0"/>
            <w:vAlign w:val="center"/>
          </w:tcPr>
          <w:p w14:paraId="284AA44D">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10</w:t>
            </w:r>
          </w:p>
        </w:tc>
        <w:tc>
          <w:tcPr>
            <w:tcW w:w="851" w:type="dxa"/>
            <w:gridSpan w:val="2"/>
            <w:tcBorders>
              <w:top w:val="single" w:color="auto" w:sz="4" w:space="0"/>
              <w:left w:val="nil"/>
              <w:bottom w:val="single" w:color="auto" w:sz="4" w:space="0"/>
              <w:right w:val="single" w:color="auto" w:sz="4" w:space="0"/>
            </w:tcBorders>
            <w:noWrap w:val="0"/>
            <w:vAlign w:val="center"/>
          </w:tcPr>
          <w:p w14:paraId="0F8FAECB">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w:t>
            </w:r>
          </w:p>
        </w:tc>
        <w:tc>
          <w:tcPr>
            <w:tcW w:w="708" w:type="dxa"/>
            <w:tcBorders>
              <w:top w:val="nil"/>
              <w:left w:val="nil"/>
              <w:bottom w:val="single" w:color="auto" w:sz="4" w:space="0"/>
              <w:right w:val="single" w:color="auto" w:sz="4" w:space="0"/>
            </w:tcBorders>
            <w:noWrap w:val="0"/>
            <w:vAlign w:val="center"/>
          </w:tcPr>
          <w:p w14:paraId="642EAF9D">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w:t>
            </w:r>
          </w:p>
        </w:tc>
      </w:tr>
      <w:tr w14:paraId="7F4385BB">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43CBD61A">
            <w:pPr>
              <w:widowControl/>
              <w:spacing w:line="240" w:lineRule="exact"/>
              <w:jc w:val="center"/>
              <w:rPr>
                <w:rFonts w:ascii="宋体" w:hAnsi="宋体" w:eastAsia="宋体" w:cs="宋体"/>
                <w:kern w:val="0"/>
                <w:sz w:val="20"/>
                <w:szCs w:val="20"/>
              </w:rPr>
            </w:pPr>
          </w:p>
        </w:tc>
        <w:tc>
          <w:tcPr>
            <w:tcW w:w="2097" w:type="dxa"/>
            <w:gridSpan w:val="2"/>
            <w:tcBorders>
              <w:top w:val="single" w:color="auto" w:sz="4" w:space="0"/>
              <w:left w:val="nil"/>
              <w:bottom w:val="single" w:color="auto" w:sz="4" w:space="0"/>
              <w:right w:val="single" w:color="auto" w:sz="4" w:space="0"/>
            </w:tcBorders>
            <w:noWrap w:val="0"/>
            <w:vAlign w:val="center"/>
          </w:tcPr>
          <w:p w14:paraId="113C7046">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其中：当年财政拨款</w:t>
            </w:r>
          </w:p>
        </w:tc>
        <w:tc>
          <w:tcPr>
            <w:tcW w:w="1033" w:type="dxa"/>
            <w:tcBorders>
              <w:top w:val="nil"/>
              <w:left w:val="nil"/>
              <w:bottom w:val="single" w:color="auto" w:sz="4" w:space="0"/>
              <w:right w:val="single" w:color="auto" w:sz="4" w:space="0"/>
            </w:tcBorders>
            <w:noWrap w:val="0"/>
            <w:vAlign w:val="center"/>
          </w:tcPr>
          <w:p w14:paraId="62971E27">
            <w:pPr>
              <w:widowControl/>
              <w:spacing w:line="240" w:lineRule="exact"/>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68</w:t>
            </w:r>
          </w:p>
        </w:tc>
        <w:tc>
          <w:tcPr>
            <w:tcW w:w="850" w:type="dxa"/>
            <w:gridSpan w:val="2"/>
            <w:tcBorders>
              <w:top w:val="nil"/>
              <w:left w:val="nil"/>
              <w:bottom w:val="single" w:color="auto" w:sz="4" w:space="0"/>
              <w:right w:val="single" w:color="auto" w:sz="4" w:space="0"/>
            </w:tcBorders>
            <w:noWrap w:val="0"/>
            <w:vAlign w:val="center"/>
          </w:tcPr>
          <w:p w14:paraId="5309C188">
            <w:pPr>
              <w:widowControl/>
              <w:spacing w:line="240" w:lineRule="exact"/>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68</w:t>
            </w:r>
          </w:p>
        </w:tc>
        <w:tc>
          <w:tcPr>
            <w:tcW w:w="1264" w:type="dxa"/>
            <w:gridSpan w:val="2"/>
            <w:tcBorders>
              <w:top w:val="nil"/>
              <w:left w:val="nil"/>
              <w:bottom w:val="single" w:color="auto" w:sz="4" w:space="0"/>
              <w:right w:val="single" w:color="auto" w:sz="4" w:space="0"/>
            </w:tcBorders>
            <w:noWrap w:val="0"/>
            <w:vAlign w:val="center"/>
          </w:tcPr>
          <w:p w14:paraId="718A9AB2">
            <w:pPr>
              <w:widowControl/>
              <w:spacing w:line="240" w:lineRule="exact"/>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68</w:t>
            </w:r>
          </w:p>
        </w:tc>
        <w:tc>
          <w:tcPr>
            <w:tcW w:w="709" w:type="dxa"/>
            <w:gridSpan w:val="2"/>
            <w:tcBorders>
              <w:top w:val="nil"/>
              <w:left w:val="nil"/>
              <w:bottom w:val="single" w:color="auto" w:sz="4" w:space="0"/>
              <w:right w:val="single" w:color="auto" w:sz="4" w:space="0"/>
            </w:tcBorders>
            <w:noWrap w:val="0"/>
            <w:vAlign w:val="center"/>
          </w:tcPr>
          <w:p w14:paraId="27377B4F">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w:t>
            </w:r>
          </w:p>
        </w:tc>
        <w:tc>
          <w:tcPr>
            <w:tcW w:w="851" w:type="dxa"/>
            <w:gridSpan w:val="2"/>
            <w:tcBorders>
              <w:top w:val="single" w:color="auto" w:sz="4" w:space="0"/>
              <w:left w:val="nil"/>
              <w:bottom w:val="single" w:color="auto" w:sz="4" w:space="0"/>
              <w:right w:val="single" w:color="auto" w:sz="4" w:space="0"/>
            </w:tcBorders>
            <w:noWrap w:val="0"/>
            <w:vAlign w:val="center"/>
          </w:tcPr>
          <w:p w14:paraId="78DEBABC">
            <w:pPr>
              <w:widowControl/>
              <w:spacing w:line="240" w:lineRule="exact"/>
              <w:jc w:val="center"/>
              <w:rPr>
                <w:rFonts w:ascii="宋体" w:hAnsi="宋体" w:eastAsia="宋体" w:cs="宋体"/>
                <w:kern w:val="0"/>
                <w:sz w:val="20"/>
                <w:szCs w:val="20"/>
              </w:rPr>
            </w:pPr>
          </w:p>
        </w:tc>
        <w:tc>
          <w:tcPr>
            <w:tcW w:w="708" w:type="dxa"/>
            <w:tcBorders>
              <w:top w:val="nil"/>
              <w:left w:val="nil"/>
              <w:bottom w:val="single" w:color="auto" w:sz="4" w:space="0"/>
              <w:right w:val="single" w:color="auto" w:sz="4" w:space="0"/>
            </w:tcBorders>
            <w:noWrap w:val="0"/>
            <w:vAlign w:val="center"/>
          </w:tcPr>
          <w:p w14:paraId="195C57F4">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w:t>
            </w:r>
          </w:p>
        </w:tc>
      </w:tr>
      <w:tr w14:paraId="7849125E">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8EA638E">
            <w:pPr>
              <w:widowControl/>
              <w:spacing w:line="240" w:lineRule="exact"/>
              <w:jc w:val="center"/>
              <w:rPr>
                <w:rFonts w:ascii="宋体" w:hAnsi="宋体" w:eastAsia="宋体" w:cs="宋体"/>
                <w:kern w:val="0"/>
                <w:sz w:val="20"/>
                <w:szCs w:val="20"/>
              </w:rPr>
            </w:pPr>
          </w:p>
        </w:tc>
        <w:tc>
          <w:tcPr>
            <w:tcW w:w="2097" w:type="dxa"/>
            <w:gridSpan w:val="2"/>
            <w:tcBorders>
              <w:top w:val="single" w:color="auto" w:sz="4" w:space="0"/>
              <w:left w:val="nil"/>
              <w:bottom w:val="single" w:color="auto" w:sz="4" w:space="0"/>
              <w:right w:val="single" w:color="auto" w:sz="4" w:space="0"/>
            </w:tcBorders>
            <w:noWrap w:val="0"/>
            <w:vAlign w:val="center"/>
          </w:tcPr>
          <w:p w14:paraId="7F13C435">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 xml:space="preserve">      上年结转资金</w:t>
            </w:r>
          </w:p>
        </w:tc>
        <w:tc>
          <w:tcPr>
            <w:tcW w:w="1033" w:type="dxa"/>
            <w:tcBorders>
              <w:top w:val="nil"/>
              <w:left w:val="nil"/>
              <w:bottom w:val="single" w:color="auto" w:sz="4" w:space="0"/>
              <w:right w:val="single" w:color="auto" w:sz="4" w:space="0"/>
            </w:tcBorders>
            <w:noWrap w:val="0"/>
            <w:vAlign w:val="center"/>
          </w:tcPr>
          <w:p w14:paraId="1ED0D8BB">
            <w:pPr>
              <w:widowControl/>
              <w:spacing w:line="240" w:lineRule="exact"/>
              <w:jc w:val="center"/>
              <w:rPr>
                <w:rFonts w:ascii="宋体" w:hAnsi="宋体" w:eastAsia="宋体" w:cs="宋体"/>
                <w:kern w:val="0"/>
                <w:sz w:val="20"/>
                <w:szCs w:val="20"/>
              </w:rPr>
            </w:pPr>
          </w:p>
        </w:tc>
        <w:tc>
          <w:tcPr>
            <w:tcW w:w="850" w:type="dxa"/>
            <w:gridSpan w:val="2"/>
            <w:tcBorders>
              <w:top w:val="nil"/>
              <w:left w:val="nil"/>
              <w:bottom w:val="single" w:color="auto" w:sz="4" w:space="0"/>
              <w:right w:val="single" w:color="auto" w:sz="4" w:space="0"/>
            </w:tcBorders>
            <w:noWrap w:val="0"/>
            <w:vAlign w:val="center"/>
          </w:tcPr>
          <w:p w14:paraId="3B604A69">
            <w:pPr>
              <w:widowControl/>
              <w:spacing w:line="240" w:lineRule="exact"/>
              <w:jc w:val="center"/>
              <w:rPr>
                <w:rFonts w:ascii="宋体" w:hAnsi="宋体" w:eastAsia="宋体" w:cs="宋体"/>
                <w:kern w:val="0"/>
                <w:sz w:val="20"/>
                <w:szCs w:val="20"/>
              </w:rPr>
            </w:pPr>
          </w:p>
        </w:tc>
        <w:tc>
          <w:tcPr>
            <w:tcW w:w="1264" w:type="dxa"/>
            <w:gridSpan w:val="2"/>
            <w:tcBorders>
              <w:top w:val="nil"/>
              <w:left w:val="nil"/>
              <w:bottom w:val="single" w:color="auto" w:sz="4" w:space="0"/>
              <w:right w:val="single" w:color="auto" w:sz="4" w:space="0"/>
            </w:tcBorders>
            <w:noWrap w:val="0"/>
            <w:vAlign w:val="center"/>
          </w:tcPr>
          <w:p w14:paraId="273D5214">
            <w:pPr>
              <w:widowControl/>
              <w:spacing w:line="240" w:lineRule="exact"/>
              <w:jc w:val="center"/>
              <w:rPr>
                <w:rFonts w:ascii="宋体" w:hAnsi="宋体" w:eastAsia="宋体" w:cs="宋体"/>
                <w:kern w:val="0"/>
                <w:sz w:val="20"/>
                <w:szCs w:val="20"/>
              </w:rPr>
            </w:pPr>
          </w:p>
        </w:tc>
        <w:tc>
          <w:tcPr>
            <w:tcW w:w="709" w:type="dxa"/>
            <w:gridSpan w:val="2"/>
            <w:tcBorders>
              <w:top w:val="nil"/>
              <w:left w:val="nil"/>
              <w:bottom w:val="single" w:color="auto" w:sz="4" w:space="0"/>
              <w:right w:val="single" w:color="auto" w:sz="4" w:space="0"/>
            </w:tcBorders>
            <w:noWrap w:val="0"/>
            <w:vAlign w:val="center"/>
          </w:tcPr>
          <w:p w14:paraId="2686993A">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w:t>
            </w:r>
          </w:p>
        </w:tc>
        <w:tc>
          <w:tcPr>
            <w:tcW w:w="851" w:type="dxa"/>
            <w:gridSpan w:val="2"/>
            <w:tcBorders>
              <w:top w:val="single" w:color="auto" w:sz="4" w:space="0"/>
              <w:left w:val="nil"/>
              <w:bottom w:val="single" w:color="auto" w:sz="4" w:space="0"/>
              <w:right w:val="single" w:color="auto" w:sz="4" w:space="0"/>
            </w:tcBorders>
            <w:noWrap w:val="0"/>
            <w:vAlign w:val="center"/>
          </w:tcPr>
          <w:p w14:paraId="34508274">
            <w:pPr>
              <w:widowControl/>
              <w:spacing w:line="240" w:lineRule="exact"/>
              <w:jc w:val="center"/>
              <w:rPr>
                <w:rFonts w:ascii="宋体" w:hAnsi="宋体" w:eastAsia="宋体" w:cs="宋体"/>
                <w:kern w:val="0"/>
                <w:sz w:val="20"/>
                <w:szCs w:val="20"/>
              </w:rPr>
            </w:pPr>
          </w:p>
        </w:tc>
        <w:tc>
          <w:tcPr>
            <w:tcW w:w="708" w:type="dxa"/>
            <w:tcBorders>
              <w:top w:val="nil"/>
              <w:left w:val="nil"/>
              <w:bottom w:val="single" w:color="auto" w:sz="4" w:space="0"/>
              <w:right w:val="single" w:color="auto" w:sz="4" w:space="0"/>
            </w:tcBorders>
            <w:noWrap w:val="0"/>
            <w:vAlign w:val="center"/>
          </w:tcPr>
          <w:p w14:paraId="574FA5F7">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w:t>
            </w:r>
          </w:p>
        </w:tc>
      </w:tr>
      <w:tr w14:paraId="77565978">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B95A1C2">
            <w:pPr>
              <w:widowControl/>
              <w:spacing w:line="240" w:lineRule="exact"/>
              <w:jc w:val="center"/>
              <w:rPr>
                <w:rFonts w:ascii="宋体" w:hAnsi="宋体" w:eastAsia="宋体" w:cs="宋体"/>
                <w:kern w:val="0"/>
                <w:sz w:val="20"/>
                <w:szCs w:val="20"/>
              </w:rPr>
            </w:pPr>
          </w:p>
        </w:tc>
        <w:tc>
          <w:tcPr>
            <w:tcW w:w="2097" w:type="dxa"/>
            <w:gridSpan w:val="2"/>
            <w:tcBorders>
              <w:top w:val="single" w:color="auto" w:sz="4" w:space="0"/>
              <w:left w:val="nil"/>
              <w:bottom w:val="single" w:color="auto" w:sz="4" w:space="0"/>
              <w:right w:val="single" w:color="auto" w:sz="4" w:space="0"/>
            </w:tcBorders>
            <w:noWrap w:val="0"/>
            <w:vAlign w:val="center"/>
          </w:tcPr>
          <w:p w14:paraId="4BF7A87C">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 xml:space="preserve">  其他资金</w:t>
            </w:r>
          </w:p>
        </w:tc>
        <w:tc>
          <w:tcPr>
            <w:tcW w:w="1033" w:type="dxa"/>
            <w:tcBorders>
              <w:top w:val="nil"/>
              <w:left w:val="nil"/>
              <w:bottom w:val="single" w:color="auto" w:sz="4" w:space="0"/>
              <w:right w:val="single" w:color="auto" w:sz="4" w:space="0"/>
            </w:tcBorders>
            <w:noWrap w:val="0"/>
            <w:vAlign w:val="center"/>
          </w:tcPr>
          <w:p w14:paraId="358AA9F9">
            <w:pPr>
              <w:widowControl/>
              <w:spacing w:line="240" w:lineRule="exact"/>
              <w:jc w:val="center"/>
              <w:rPr>
                <w:rFonts w:ascii="宋体" w:hAnsi="宋体" w:eastAsia="宋体" w:cs="宋体"/>
                <w:kern w:val="0"/>
                <w:sz w:val="20"/>
                <w:szCs w:val="20"/>
              </w:rPr>
            </w:pPr>
          </w:p>
        </w:tc>
        <w:tc>
          <w:tcPr>
            <w:tcW w:w="850" w:type="dxa"/>
            <w:gridSpan w:val="2"/>
            <w:tcBorders>
              <w:top w:val="nil"/>
              <w:left w:val="nil"/>
              <w:bottom w:val="single" w:color="auto" w:sz="4" w:space="0"/>
              <w:right w:val="single" w:color="auto" w:sz="4" w:space="0"/>
            </w:tcBorders>
            <w:noWrap w:val="0"/>
            <w:vAlign w:val="center"/>
          </w:tcPr>
          <w:p w14:paraId="55CD7FD0">
            <w:pPr>
              <w:widowControl/>
              <w:spacing w:line="240" w:lineRule="exact"/>
              <w:jc w:val="center"/>
              <w:rPr>
                <w:rFonts w:hint="default" w:ascii="宋体" w:hAnsi="宋体" w:eastAsia="宋体" w:cs="宋体"/>
                <w:kern w:val="0"/>
                <w:sz w:val="20"/>
                <w:szCs w:val="20"/>
                <w:lang w:val="en-US" w:eastAsia="zh-CN"/>
              </w:rPr>
            </w:pPr>
          </w:p>
        </w:tc>
        <w:tc>
          <w:tcPr>
            <w:tcW w:w="1264" w:type="dxa"/>
            <w:gridSpan w:val="2"/>
            <w:tcBorders>
              <w:top w:val="nil"/>
              <w:left w:val="nil"/>
              <w:bottom w:val="single" w:color="auto" w:sz="4" w:space="0"/>
              <w:right w:val="single" w:color="auto" w:sz="4" w:space="0"/>
            </w:tcBorders>
            <w:noWrap w:val="0"/>
            <w:vAlign w:val="center"/>
          </w:tcPr>
          <w:p w14:paraId="22522CD1">
            <w:pPr>
              <w:widowControl/>
              <w:spacing w:line="240" w:lineRule="exact"/>
              <w:jc w:val="center"/>
              <w:rPr>
                <w:rFonts w:hint="default" w:ascii="宋体" w:hAnsi="宋体" w:eastAsia="宋体" w:cs="宋体"/>
                <w:kern w:val="0"/>
                <w:sz w:val="20"/>
                <w:szCs w:val="20"/>
                <w:lang w:val="en-US" w:eastAsia="zh-CN"/>
              </w:rPr>
            </w:pPr>
          </w:p>
        </w:tc>
        <w:tc>
          <w:tcPr>
            <w:tcW w:w="709" w:type="dxa"/>
            <w:gridSpan w:val="2"/>
            <w:tcBorders>
              <w:top w:val="nil"/>
              <w:left w:val="nil"/>
              <w:bottom w:val="single" w:color="auto" w:sz="4" w:space="0"/>
              <w:right w:val="single" w:color="auto" w:sz="4" w:space="0"/>
            </w:tcBorders>
            <w:noWrap w:val="0"/>
            <w:vAlign w:val="center"/>
          </w:tcPr>
          <w:p w14:paraId="59379636">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w:t>
            </w:r>
          </w:p>
        </w:tc>
        <w:tc>
          <w:tcPr>
            <w:tcW w:w="851" w:type="dxa"/>
            <w:gridSpan w:val="2"/>
            <w:tcBorders>
              <w:top w:val="single" w:color="auto" w:sz="4" w:space="0"/>
              <w:left w:val="nil"/>
              <w:bottom w:val="single" w:color="auto" w:sz="4" w:space="0"/>
              <w:right w:val="single" w:color="auto" w:sz="4" w:space="0"/>
            </w:tcBorders>
            <w:noWrap w:val="0"/>
            <w:vAlign w:val="center"/>
          </w:tcPr>
          <w:p w14:paraId="2C278160">
            <w:pPr>
              <w:widowControl/>
              <w:spacing w:line="240" w:lineRule="exact"/>
              <w:jc w:val="center"/>
              <w:rPr>
                <w:rFonts w:ascii="宋体" w:hAnsi="宋体" w:eastAsia="宋体" w:cs="宋体"/>
                <w:kern w:val="0"/>
                <w:sz w:val="20"/>
                <w:szCs w:val="20"/>
              </w:rPr>
            </w:pPr>
          </w:p>
        </w:tc>
        <w:tc>
          <w:tcPr>
            <w:tcW w:w="708" w:type="dxa"/>
            <w:tcBorders>
              <w:top w:val="nil"/>
              <w:left w:val="nil"/>
              <w:bottom w:val="single" w:color="auto" w:sz="4" w:space="0"/>
              <w:right w:val="single" w:color="auto" w:sz="4" w:space="0"/>
            </w:tcBorders>
            <w:noWrap w:val="0"/>
            <w:vAlign w:val="center"/>
          </w:tcPr>
          <w:p w14:paraId="6311FD40">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w:t>
            </w:r>
          </w:p>
        </w:tc>
      </w:tr>
      <w:tr w14:paraId="7070D05C">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14:paraId="0FEFFBC2">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年度总体目标</w:t>
            </w:r>
          </w:p>
        </w:tc>
        <w:tc>
          <w:tcPr>
            <w:tcW w:w="4960" w:type="dxa"/>
            <w:gridSpan w:val="6"/>
            <w:tcBorders>
              <w:top w:val="single" w:color="auto" w:sz="4" w:space="0"/>
              <w:left w:val="nil"/>
              <w:bottom w:val="single" w:color="auto" w:sz="4" w:space="0"/>
              <w:right w:val="single" w:color="auto" w:sz="4" w:space="0"/>
            </w:tcBorders>
            <w:noWrap w:val="0"/>
            <w:vAlign w:val="center"/>
          </w:tcPr>
          <w:p w14:paraId="0828DAC1">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预期目标</w:t>
            </w:r>
          </w:p>
        </w:tc>
        <w:tc>
          <w:tcPr>
            <w:tcW w:w="3532" w:type="dxa"/>
            <w:gridSpan w:val="7"/>
            <w:tcBorders>
              <w:top w:val="single" w:color="auto" w:sz="4" w:space="0"/>
              <w:left w:val="nil"/>
              <w:bottom w:val="single" w:color="auto" w:sz="4" w:space="0"/>
              <w:right w:val="single" w:color="auto" w:sz="4" w:space="0"/>
            </w:tcBorders>
            <w:noWrap w:val="0"/>
            <w:vAlign w:val="center"/>
          </w:tcPr>
          <w:p w14:paraId="33EBD2DC">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实际完成情况</w:t>
            </w:r>
          </w:p>
        </w:tc>
      </w:tr>
      <w:tr w14:paraId="2423668E">
        <w:tblPrEx>
          <w:tblCellMar>
            <w:top w:w="0" w:type="dxa"/>
            <w:left w:w="108" w:type="dxa"/>
            <w:bottom w:w="0" w:type="dxa"/>
            <w:right w:w="108" w:type="dxa"/>
          </w:tblCellMar>
        </w:tblPrEx>
        <w:trPr>
          <w:trHeight w:val="1235"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14:paraId="2D56BDEE">
            <w:pPr>
              <w:widowControl/>
              <w:spacing w:line="240" w:lineRule="exact"/>
              <w:jc w:val="center"/>
              <w:rPr>
                <w:rFonts w:ascii="宋体" w:hAnsi="宋体" w:eastAsia="宋体" w:cs="宋体"/>
                <w:kern w:val="0"/>
                <w:sz w:val="20"/>
                <w:szCs w:val="20"/>
              </w:rPr>
            </w:pPr>
          </w:p>
        </w:tc>
        <w:tc>
          <w:tcPr>
            <w:tcW w:w="4960" w:type="dxa"/>
            <w:gridSpan w:val="6"/>
            <w:tcBorders>
              <w:top w:val="single" w:color="auto" w:sz="4" w:space="0"/>
              <w:left w:val="nil"/>
              <w:bottom w:val="single" w:color="auto" w:sz="4" w:space="0"/>
              <w:right w:val="single" w:color="auto" w:sz="4" w:space="0"/>
            </w:tcBorders>
            <w:noWrap w:val="0"/>
            <w:vAlign w:val="center"/>
          </w:tcPr>
          <w:p w14:paraId="268A33FC">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rPr>
              <w:t>依据景德镇市人民政府、景德镇军分区《关于进一步做好驻市部队随军家属就业安置工作的实施意见》（景府办发[2014]15号）的规定：按全是上年度城镇非私营单位在岗职工平均工资的12%标准发放。</w:t>
            </w:r>
          </w:p>
        </w:tc>
        <w:tc>
          <w:tcPr>
            <w:tcW w:w="3532" w:type="dxa"/>
            <w:gridSpan w:val="7"/>
            <w:tcBorders>
              <w:top w:val="single" w:color="auto" w:sz="4" w:space="0"/>
              <w:left w:val="nil"/>
              <w:bottom w:val="single" w:color="auto" w:sz="4" w:space="0"/>
              <w:right w:val="single" w:color="auto" w:sz="4" w:space="0"/>
            </w:tcBorders>
            <w:noWrap w:val="0"/>
            <w:vAlign w:val="center"/>
          </w:tcPr>
          <w:p w14:paraId="08499C03">
            <w:pPr>
              <w:widowControl/>
              <w:spacing w:line="240" w:lineRule="exact"/>
              <w:jc w:val="center"/>
              <w:rPr>
                <w:rFonts w:hint="default" w:ascii="宋体" w:hAnsi="宋体" w:eastAsia="宋体" w:cs="宋体"/>
                <w:kern w:val="0"/>
                <w:sz w:val="20"/>
                <w:szCs w:val="20"/>
                <w:lang w:val="en-US"/>
              </w:rPr>
            </w:pPr>
            <w:r>
              <w:rPr>
                <w:rFonts w:hint="eastAsia" w:ascii="宋体" w:hAnsi="宋体" w:eastAsia="宋体" w:cs="宋体"/>
                <w:kern w:val="0"/>
                <w:sz w:val="20"/>
                <w:szCs w:val="20"/>
                <w:lang w:val="en-US" w:eastAsia="zh-CN"/>
              </w:rPr>
              <w:t>均按要求足额发放。</w:t>
            </w:r>
          </w:p>
        </w:tc>
      </w:tr>
      <w:tr w14:paraId="4443190A">
        <w:tblPrEx>
          <w:tblCellMar>
            <w:top w:w="0" w:type="dxa"/>
            <w:left w:w="108" w:type="dxa"/>
            <w:bottom w:w="0" w:type="dxa"/>
            <w:right w:w="108" w:type="dxa"/>
          </w:tblCellMar>
        </w:tblPrEx>
        <w:trPr>
          <w:trHeight w:val="733" w:hRule="exact"/>
          <w:jc w:val="center"/>
        </w:trPr>
        <w:tc>
          <w:tcPr>
            <w:tcW w:w="588" w:type="dxa"/>
            <w:vMerge w:val="restart"/>
            <w:tcBorders>
              <w:top w:val="nil"/>
              <w:left w:val="single" w:color="auto" w:sz="4" w:space="0"/>
              <w:right w:val="single" w:color="auto" w:sz="4" w:space="0"/>
            </w:tcBorders>
            <w:noWrap w:val="0"/>
            <w:vAlign w:val="center"/>
          </w:tcPr>
          <w:p w14:paraId="25C67A6A">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绩</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效</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标</w:t>
            </w:r>
          </w:p>
        </w:tc>
        <w:tc>
          <w:tcPr>
            <w:tcW w:w="980" w:type="dxa"/>
            <w:tcBorders>
              <w:top w:val="nil"/>
              <w:left w:val="nil"/>
              <w:bottom w:val="single" w:color="auto" w:sz="4" w:space="0"/>
              <w:right w:val="single" w:color="auto" w:sz="4" w:space="0"/>
            </w:tcBorders>
            <w:noWrap w:val="0"/>
            <w:vAlign w:val="center"/>
          </w:tcPr>
          <w:p w14:paraId="7596DD4D">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一级指标</w:t>
            </w:r>
          </w:p>
        </w:tc>
        <w:tc>
          <w:tcPr>
            <w:tcW w:w="1112" w:type="dxa"/>
            <w:tcBorders>
              <w:top w:val="nil"/>
              <w:left w:val="nil"/>
              <w:bottom w:val="single" w:color="auto" w:sz="4" w:space="0"/>
              <w:right w:val="single" w:color="auto" w:sz="4" w:space="0"/>
            </w:tcBorders>
            <w:noWrap w:val="0"/>
            <w:vAlign w:val="center"/>
          </w:tcPr>
          <w:p w14:paraId="15156637">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二级指标</w:t>
            </w:r>
          </w:p>
        </w:tc>
        <w:tc>
          <w:tcPr>
            <w:tcW w:w="2218" w:type="dxa"/>
            <w:gridSpan w:val="3"/>
            <w:tcBorders>
              <w:top w:val="single" w:color="auto" w:sz="4" w:space="0"/>
              <w:left w:val="nil"/>
              <w:bottom w:val="single" w:color="auto" w:sz="4" w:space="0"/>
              <w:right w:val="single" w:color="auto" w:sz="4" w:space="0"/>
            </w:tcBorders>
            <w:noWrap w:val="0"/>
            <w:vAlign w:val="center"/>
          </w:tcPr>
          <w:p w14:paraId="682AD51E">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三级指标</w:t>
            </w:r>
          </w:p>
        </w:tc>
        <w:tc>
          <w:tcPr>
            <w:tcW w:w="650" w:type="dxa"/>
            <w:tcBorders>
              <w:top w:val="nil"/>
              <w:left w:val="nil"/>
              <w:bottom w:val="single" w:color="auto" w:sz="4" w:space="0"/>
              <w:right w:val="single" w:color="auto" w:sz="4" w:space="0"/>
            </w:tcBorders>
            <w:noWrap w:val="0"/>
            <w:vAlign w:val="center"/>
          </w:tcPr>
          <w:p w14:paraId="03C6F164">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年度</w:t>
            </w:r>
          </w:p>
          <w:p w14:paraId="46C44219">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指标值</w:t>
            </w:r>
          </w:p>
        </w:tc>
        <w:tc>
          <w:tcPr>
            <w:tcW w:w="981" w:type="dxa"/>
            <w:tcBorders>
              <w:top w:val="nil"/>
              <w:left w:val="nil"/>
              <w:bottom w:val="single" w:color="auto" w:sz="4" w:space="0"/>
              <w:right w:val="single" w:color="auto" w:sz="4" w:space="0"/>
            </w:tcBorders>
            <w:noWrap w:val="0"/>
            <w:vAlign w:val="center"/>
          </w:tcPr>
          <w:p w14:paraId="04DDEDDB">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实际</w:t>
            </w:r>
          </w:p>
          <w:p w14:paraId="4AFD0AC8">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完成值</w:t>
            </w:r>
          </w:p>
        </w:tc>
        <w:tc>
          <w:tcPr>
            <w:tcW w:w="567" w:type="dxa"/>
            <w:gridSpan w:val="2"/>
            <w:tcBorders>
              <w:top w:val="nil"/>
              <w:left w:val="nil"/>
              <w:bottom w:val="single" w:color="auto" w:sz="4" w:space="0"/>
              <w:right w:val="single" w:color="auto" w:sz="4" w:space="0"/>
            </w:tcBorders>
            <w:noWrap w:val="0"/>
            <w:vAlign w:val="center"/>
          </w:tcPr>
          <w:p w14:paraId="6E02882A">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分值</w:t>
            </w:r>
          </w:p>
        </w:tc>
        <w:tc>
          <w:tcPr>
            <w:tcW w:w="567" w:type="dxa"/>
            <w:gridSpan w:val="2"/>
            <w:tcBorders>
              <w:top w:val="nil"/>
              <w:left w:val="nil"/>
              <w:bottom w:val="single" w:color="auto" w:sz="4" w:space="0"/>
              <w:right w:val="single" w:color="auto" w:sz="4" w:space="0"/>
            </w:tcBorders>
            <w:noWrap w:val="0"/>
            <w:vAlign w:val="center"/>
          </w:tcPr>
          <w:p w14:paraId="18A86E0C">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得分</w:t>
            </w:r>
          </w:p>
        </w:tc>
        <w:tc>
          <w:tcPr>
            <w:tcW w:w="1417" w:type="dxa"/>
            <w:gridSpan w:val="2"/>
            <w:tcBorders>
              <w:top w:val="single" w:color="auto" w:sz="4" w:space="0"/>
              <w:left w:val="nil"/>
              <w:bottom w:val="single" w:color="auto" w:sz="4" w:space="0"/>
              <w:right w:val="single" w:color="auto" w:sz="4" w:space="0"/>
            </w:tcBorders>
            <w:noWrap w:val="0"/>
            <w:vAlign w:val="center"/>
          </w:tcPr>
          <w:p w14:paraId="03FF7EE8">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偏差原因分析及改进措施</w:t>
            </w:r>
          </w:p>
        </w:tc>
      </w:tr>
      <w:tr w14:paraId="236D4D31">
        <w:tblPrEx>
          <w:tblCellMar>
            <w:top w:w="0" w:type="dxa"/>
            <w:left w:w="108" w:type="dxa"/>
            <w:bottom w:w="0" w:type="dxa"/>
            <w:right w:w="108" w:type="dxa"/>
          </w:tblCellMar>
        </w:tblPrEx>
        <w:trPr>
          <w:trHeight w:val="721" w:hRule="exact"/>
          <w:jc w:val="center"/>
        </w:trPr>
        <w:tc>
          <w:tcPr>
            <w:tcW w:w="588" w:type="dxa"/>
            <w:vMerge w:val="continue"/>
            <w:tcBorders>
              <w:left w:val="single" w:color="auto" w:sz="4" w:space="0"/>
              <w:right w:val="single" w:color="auto" w:sz="4" w:space="0"/>
            </w:tcBorders>
            <w:noWrap w:val="0"/>
            <w:vAlign w:val="center"/>
          </w:tcPr>
          <w:p w14:paraId="77F7683F">
            <w:pPr>
              <w:widowControl/>
              <w:spacing w:line="240" w:lineRule="exact"/>
              <w:jc w:val="center"/>
              <w:rPr>
                <w:rFonts w:ascii="宋体" w:hAnsi="宋体" w:eastAsia="宋体" w:cs="宋体"/>
                <w:kern w:val="0"/>
                <w:sz w:val="20"/>
                <w:szCs w:val="20"/>
              </w:rPr>
            </w:pPr>
          </w:p>
        </w:tc>
        <w:tc>
          <w:tcPr>
            <w:tcW w:w="980" w:type="dxa"/>
            <w:vMerge w:val="restart"/>
            <w:tcBorders>
              <w:top w:val="nil"/>
              <w:left w:val="single" w:color="auto" w:sz="4" w:space="0"/>
              <w:bottom w:val="single" w:color="auto" w:sz="4" w:space="0"/>
              <w:right w:val="single" w:color="auto" w:sz="4" w:space="0"/>
            </w:tcBorders>
            <w:noWrap w:val="0"/>
            <w:vAlign w:val="center"/>
          </w:tcPr>
          <w:p w14:paraId="3B61CB30">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产出指标</w:t>
            </w:r>
          </w:p>
        </w:tc>
        <w:tc>
          <w:tcPr>
            <w:tcW w:w="1112" w:type="dxa"/>
            <w:tcBorders>
              <w:top w:val="nil"/>
              <w:left w:val="single" w:color="auto" w:sz="4" w:space="0"/>
              <w:bottom w:val="single" w:color="auto" w:sz="4" w:space="0"/>
              <w:right w:val="single" w:color="auto" w:sz="4" w:space="0"/>
            </w:tcBorders>
            <w:noWrap w:val="0"/>
            <w:vAlign w:val="center"/>
          </w:tcPr>
          <w:p w14:paraId="7AB701FF">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数量指标</w:t>
            </w:r>
          </w:p>
        </w:tc>
        <w:tc>
          <w:tcPr>
            <w:tcW w:w="2218" w:type="dxa"/>
            <w:gridSpan w:val="3"/>
            <w:tcBorders>
              <w:top w:val="single" w:color="auto" w:sz="4" w:space="0"/>
              <w:left w:val="nil"/>
              <w:bottom w:val="single" w:color="auto" w:sz="4" w:space="0"/>
              <w:right w:val="single" w:color="auto" w:sz="4" w:space="0"/>
            </w:tcBorders>
            <w:noWrap w:val="0"/>
            <w:vAlign w:val="center"/>
          </w:tcPr>
          <w:p w14:paraId="231727EE">
            <w:pPr>
              <w:widowControl/>
              <w:spacing w:line="240" w:lineRule="exact"/>
              <w:jc w:val="left"/>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指标1：随军家属未就业符合条件</w:t>
            </w:r>
            <w:r>
              <w:rPr>
                <w:rFonts w:hint="eastAsia" w:ascii="宋体" w:hAnsi="宋体" w:cs="宋体"/>
                <w:color w:val="000000"/>
                <w:kern w:val="0"/>
                <w:sz w:val="20"/>
                <w:szCs w:val="20"/>
                <w:lang w:val="en-US" w:eastAsia="zh-CN"/>
              </w:rPr>
              <w:t>人数</w:t>
            </w:r>
          </w:p>
        </w:tc>
        <w:tc>
          <w:tcPr>
            <w:tcW w:w="650" w:type="dxa"/>
            <w:tcBorders>
              <w:top w:val="nil"/>
              <w:left w:val="nil"/>
              <w:bottom w:val="single" w:color="auto" w:sz="4" w:space="0"/>
              <w:right w:val="single" w:color="auto" w:sz="4" w:space="0"/>
            </w:tcBorders>
            <w:noWrap w:val="0"/>
            <w:vAlign w:val="center"/>
          </w:tcPr>
          <w:p w14:paraId="2AEEE6D1">
            <w:pPr>
              <w:widowControl/>
              <w:spacing w:line="240" w:lineRule="exact"/>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83人</w:t>
            </w:r>
          </w:p>
        </w:tc>
        <w:tc>
          <w:tcPr>
            <w:tcW w:w="981" w:type="dxa"/>
            <w:tcBorders>
              <w:top w:val="nil"/>
              <w:left w:val="nil"/>
              <w:bottom w:val="single" w:color="auto" w:sz="4" w:space="0"/>
              <w:right w:val="single" w:color="auto" w:sz="4" w:space="0"/>
            </w:tcBorders>
            <w:noWrap w:val="0"/>
            <w:vAlign w:val="center"/>
          </w:tcPr>
          <w:p w14:paraId="5349A73F">
            <w:pPr>
              <w:widowControl/>
              <w:spacing w:line="240" w:lineRule="exact"/>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83人</w:t>
            </w:r>
          </w:p>
        </w:tc>
        <w:tc>
          <w:tcPr>
            <w:tcW w:w="567" w:type="dxa"/>
            <w:gridSpan w:val="2"/>
            <w:tcBorders>
              <w:top w:val="nil"/>
              <w:left w:val="nil"/>
              <w:bottom w:val="single" w:color="auto" w:sz="4" w:space="0"/>
              <w:right w:val="single" w:color="auto" w:sz="4" w:space="0"/>
            </w:tcBorders>
            <w:noWrap w:val="0"/>
            <w:vAlign w:val="center"/>
          </w:tcPr>
          <w:p w14:paraId="46567697">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w:t>
            </w:r>
          </w:p>
        </w:tc>
        <w:tc>
          <w:tcPr>
            <w:tcW w:w="567" w:type="dxa"/>
            <w:gridSpan w:val="2"/>
            <w:tcBorders>
              <w:top w:val="nil"/>
              <w:left w:val="nil"/>
              <w:bottom w:val="single" w:color="auto" w:sz="4" w:space="0"/>
              <w:right w:val="single" w:color="auto" w:sz="4" w:space="0"/>
            </w:tcBorders>
            <w:noWrap w:val="0"/>
            <w:vAlign w:val="center"/>
          </w:tcPr>
          <w:p w14:paraId="5823F883">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w:t>
            </w:r>
          </w:p>
        </w:tc>
        <w:tc>
          <w:tcPr>
            <w:tcW w:w="1417" w:type="dxa"/>
            <w:gridSpan w:val="2"/>
            <w:tcBorders>
              <w:top w:val="single" w:color="auto" w:sz="4" w:space="0"/>
              <w:left w:val="nil"/>
              <w:bottom w:val="single" w:color="auto" w:sz="4" w:space="0"/>
              <w:right w:val="single" w:color="auto" w:sz="4" w:space="0"/>
            </w:tcBorders>
            <w:noWrap w:val="0"/>
            <w:vAlign w:val="center"/>
          </w:tcPr>
          <w:p w14:paraId="1A851A40">
            <w:pPr>
              <w:widowControl/>
              <w:spacing w:line="240" w:lineRule="exact"/>
              <w:jc w:val="center"/>
              <w:rPr>
                <w:rFonts w:ascii="宋体" w:hAnsi="宋体" w:eastAsia="宋体" w:cs="宋体"/>
                <w:kern w:val="0"/>
                <w:sz w:val="20"/>
                <w:szCs w:val="20"/>
              </w:rPr>
            </w:pPr>
          </w:p>
        </w:tc>
      </w:tr>
      <w:tr w14:paraId="0E92E298">
        <w:tblPrEx>
          <w:tblCellMar>
            <w:top w:w="0" w:type="dxa"/>
            <w:left w:w="108" w:type="dxa"/>
            <w:bottom w:w="0" w:type="dxa"/>
            <w:right w:w="108" w:type="dxa"/>
          </w:tblCellMar>
        </w:tblPrEx>
        <w:trPr>
          <w:trHeight w:val="810" w:hRule="exact"/>
          <w:jc w:val="center"/>
        </w:trPr>
        <w:tc>
          <w:tcPr>
            <w:tcW w:w="588" w:type="dxa"/>
            <w:vMerge w:val="continue"/>
            <w:tcBorders>
              <w:left w:val="single" w:color="auto" w:sz="4" w:space="0"/>
              <w:right w:val="single" w:color="auto" w:sz="4" w:space="0"/>
            </w:tcBorders>
            <w:noWrap w:val="0"/>
            <w:vAlign w:val="center"/>
          </w:tcPr>
          <w:p w14:paraId="54986E81">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22513BE4">
            <w:pPr>
              <w:widowControl/>
              <w:spacing w:line="240" w:lineRule="exact"/>
              <w:jc w:val="center"/>
              <w:rPr>
                <w:rFonts w:ascii="宋体" w:hAnsi="宋体" w:eastAsia="宋体" w:cs="宋体"/>
                <w:kern w:val="0"/>
                <w:sz w:val="20"/>
                <w:szCs w:val="20"/>
              </w:rPr>
            </w:pPr>
          </w:p>
        </w:tc>
        <w:tc>
          <w:tcPr>
            <w:tcW w:w="1112" w:type="dxa"/>
            <w:tcBorders>
              <w:top w:val="nil"/>
              <w:left w:val="single" w:color="auto" w:sz="4" w:space="0"/>
              <w:bottom w:val="single" w:color="auto" w:sz="4" w:space="0"/>
              <w:right w:val="single" w:color="auto" w:sz="4" w:space="0"/>
            </w:tcBorders>
            <w:noWrap w:val="0"/>
            <w:vAlign w:val="center"/>
          </w:tcPr>
          <w:p w14:paraId="150186CB">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质量指标</w:t>
            </w:r>
          </w:p>
        </w:tc>
        <w:tc>
          <w:tcPr>
            <w:tcW w:w="2218" w:type="dxa"/>
            <w:gridSpan w:val="3"/>
            <w:tcBorders>
              <w:top w:val="single" w:color="auto" w:sz="4" w:space="0"/>
              <w:left w:val="nil"/>
              <w:bottom w:val="single" w:color="auto" w:sz="4" w:space="0"/>
              <w:right w:val="single" w:color="auto" w:sz="4" w:space="0"/>
            </w:tcBorders>
            <w:noWrap w:val="0"/>
            <w:vAlign w:val="center"/>
          </w:tcPr>
          <w:p w14:paraId="771DC43D">
            <w:pPr>
              <w:widowControl/>
              <w:spacing w:line="240" w:lineRule="exact"/>
              <w:jc w:val="left"/>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指标1：随军家属未就业生活补助发放</w:t>
            </w:r>
            <w:r>
              <w:rPr>
                <w:rFonts w:hint="eastAsia" w:ascii="宋体" w:hAnsi="宋体" w:cs="宋体"/>
                <w:color w:val="000000"/>
                <w:kern w:val="0"/>
                <w:sz w:val="20"/>
                <w:szCs w:val="20"/>
                <w:lang w:val="en-US" w:eastAsia="zh-CN"/>
              </w:rPr>
              <w:t>合规率</w:t>
            </w:r>
          </w:p>
        </w:tc>
        <w:tc>
          <w:tcPr>
            <w:tcW w:w="650" w:type="dxa"/>
            <w:tcBorders>
              <w:top w:val="nil"/>
              <w:left w:val="nil"/>
              <w:bottom w:val="single" w:color="auto" w:sz="4" w:space="0"/>
              <w:right w:val="single" w:color="auto" w:sz="4" w:space="0"/>
            </w:tcBorders>
            <w:noWrap w:val="0"/>
            <w:vAlign w:val="center"/>
          </w:tcPr>
          <w:p w14:paraId="0A23999A">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w:t>
            </w:r>
          </w:p>
        </w:tc>
        <w:tc>
          <w:tcPr>
            <w:tcW w:w="981" w:type="dxa"/>
            <w:tcBorders>
              <w:top w:val="nil"/>
              <w:left w:val="nil"/>
              <w:bottom w:val="single" w:color="auto" w:sz="4" w:space="0"/>
              <w:right w:val="single" w:color="auto" w:sz="4" w:space="0"/>
            </w:tcBorders>
            <w:noWrap w:val="0"/>
            <w:vAlign w:val="center"/>
          </w:tcPr>
          <w:p w14:paraId="38915576">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w:t>
            </w:r>
          </w:p>
        </w:tc>
        <w:tc>
          <w:tcPr>
            <w:tcW w:w="567" w:type="dxa"/>
            <w:gridSpan w:val="2"/>
            <w:tcBorders>
              <w:top w:val="nil"/>
              <w:left w:val="nil"/>
              <w:bottom w:val="single" w:color="auto" w:sz="4" w:space="0"/>
              <w:right w:val="single" w:color="auto" w:sz="4" w:space="0"/>
            </w:tcBorders>
            <w:noWrap w:val="0"/>
            <w:vAlign w:val="center"/>
          </w:tcPr>
          <w:p w14:paraId="2D31E45B">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w:t>
            </w:r>
          </w:p>
        </w:tc>
        <w:tc>
          <w:tcPr>
            <w:tcW w:w="567" w:type="dxa"/>
            <w:gridSpan w:val="2"/>
            <w:tcBorders>
              <w:top w:val="nil"/>
              <w:left w:val="nil"/>
              <w:bottom w:val="single" w:color="auto" w:sz="4" w:space="0"/>
              <w:right w:val="single" w:color="auto" w:sz="4" w:space="0"/>
            </w:tcBorders>
            <w:noWrap w:val="0"/>
            <w:vAlign w:val="center"/>
          </w:tcPr>
          <w:p w14:paraId="0B564644">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w:t>
            </w:r>
          </w:p>
        </w:tc>
        <w:tc>
          <w:tcPr>
            <w:tcW w:w="1417" w:type="dxa"/>
            <w:gridSpan w:val="2"/>
            <w:tcBorders>
              <w:top w:val="single" w:color="auto" w:sz="4" w:space="0"/>
              <w:left w:val="nil"/>
              <w:bottom w:val="single" w:color="auto" w:sz="4" w:space="0"/>
              <w:right w:val="single" w:color="auto" w:sz="4" w:space="0"/>
            </w:tcBorders>
            <w:noWrap w:val="0"/>
            <w:vAlign w:val="center"/>
          </w:tcPr>
          <w:p w14:paraId="07D143A8">
            <w:pPr>
              <w:widowControl/>
              <w:spacing w:line="240" w:lineRule="exact"/>
              <w:jc w:val="center"/>
              <w:rPr>
                <w:rFonts w:ascii="宋体" w:hAnsi="宋体" w:eastAsia="宋体" w:cs="宋体"/>
                <w:kern w:val="0"/>
                <w:sz w:val="20"/>
                <w:szCs w:val="20"/>
              </w:rPr>
            </w:pPr>
          </w:p>
        </w:tc>
      </w:tr>
      <w:tr w14:paraId="633D1B55">
        <w:tblPrEx>
          <w:tblCellMar>
            <w:top w:w="0" w:type="dxa"/>
            <w:left w:w="108" w:type="dxa"/>
            <w:bottom w:w="0" w:type="dxa"/>
            <w:right w:w="108" w:type="dxa"/>
          </w:tblCellMar>
        </w:tblPrEx>
        <w:trPr>
          <w:trHeight w:val="837" w:hRule="exact"/>
          <w:jc w:val="center"/>
        </w:trPr>
        <w:tc>
          <w:tcPr>
            <w:tcW w:w="588" w:type="dxa"/>
            <w:vMerge w:val="continue"/>
            <w:tcBorders>
              <w:left w:val="single" w:color="auto" w:sz="4" w:space="0"/>
              <w:right w:val="single" w:color="auto" w:sz="4" w:space="0"/>
            </w:tcBorders>
            <w:noWrap w:val="0"/>
            <w:vAlign w:val="center"/>
          </w:tcPr>
          <w:p w14:paraId="4F0F4F0D">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6A35F3C3">
            <w:pPr>
              <w:widowControl/>
              <w:spacing w:line="240" w:lineRule="exact"/>
              <w:jc w:val="center"/>
              <w:rPr>
                <w:rFonts w:ascii="宋体" w:hAnsi="宋体" w:eastAsia="宋体" w:cs="宋体"/>
                <w:kern w:val="0"/>
                <w:sz w:val="20"/>
                <w:szCs w:val="20"/>
              </w:rPr>
            </w:pPr>
          </w:p>
        </w:tc>
        <w:tc>
          <w:tcPr>
            <w:tcW w:w="1112" w:type="dxa"/>
            <w:tcBorders>
              <w:top w:val="nil"/>
              <w:left w:val="single" w:color="auto" w:sz="4" w:space="0"/>
              <w:bottom w:val="single" w:color="auto" w:sz="4" w:space="0"/>
              <w:right w:val="single" w:color="auto" w:sz="4" w:space="0"/>
            </w:tcBorders>
            <w:noWrap w:val="0"/>
            <w:vAlign w:val="center"/>
          </w:tcPr>
          <w:p w14:paraId="2FB67A81">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时效指标</w:t>
            </w:r>
          </w:p>
        </w:tc>
        <w:tc>
          <w:tcPr>
            <w:tcW w:w="2218" w:type="dxa"/>
            <w:gridSpan w:val="3"/>
            <w:tcBorders>
              <w:top w:val="single" w:color="auto" w:sz="4" w:space="0"/>
              <w:left w:val="nil"/>
              <w:bottom w:val="single" w:color="auto" w:sz="4" w:space="0"/>
              <w:right w:val="single" w:color="auto" w:sz="4" w:space="0"/>
            </w:tcBorders>
            <w:noWrap w:val="0"/>
            <w:vAlign w:val="center"/>
          </w:tcPr>
          <w:p w14:paraId="013AA612">
            <w:pPr>
              <w:widowControl/>
              <w:spacing w:line="240" w:lineRule="exact"/>
              <w:jc w:val="left"/>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指标1：发放随军家属未就业生活补助及时</w:t>
            </w:r>
            <w:r>
              <w:rPr>
                <w:rFonts w:hint="eastAsia" w:ascii="宋体" w:hAnsi="宋体" w:cs="宋体"/>
                <w:color w:val="000000"/>
                <w:kern w:val="0"/>
                <w:sz w:val="20"/>
                <w:szCs w:val="20"/>
                <w:lang w:val="en-US" w:eastAsia="zh-CN"/>
              </w:rPr>
              <w:t>率</w:t>
            </w:r>
          </w:p>
        </w:tc>
        <w:tc>
          <w:tcPr>
            <w:tcW w:w="650" w:type="dxa"/>
            <w:tcBorders>
              <w:top w:val="nil"/>
              <w:left w:val="nil"/>
              <w:bottom w:val="single" w:color="auto" w:sz="4" w:space="0"/>
              <w:right w:val="single" w:color="auto" w:sz="4" w:space="0"/>
            </w:tcBorders>
            <w:noWrap w:val="0"/>
            <w:vAlign w:val="center"/>
          </w:tcPr>
          <w:p w14:paraId="61604B8A">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w:t>
            </w:r>
          </w:p>
        </w:tc>
        <w:tc>
          <w:tcPr>
            <w:tcW w:w="981" w:type="dxa"/>
            <w:tcBorders>
              <w:top w:val="nil"/>
              <w:left w:val="nil"/>
              <w:bottom w:val="single" w:color="auto" w:sz="4" w:space="0"/>
              <w:right w:val="single" w:color="auto" w:sz="4" w:space="0"/>
            </w:tcBorders>
            <w:noWrap w:val="0"/>
            <w:vAlign w:val="center"/>
          </w:tcPr>
          <w:p w14:paraId="1457F1E2">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w:t>
            </w:r>
          </w:p>
        </w:tc>
        <w:tc>
          <w:tcPr>
            <w:tcW w:w="567" w:type="dxa"/>
            <w:gridSpan w:val="2"/>
            <w:tcBorders>
              <w:top w:val="nil"/>
              <w:left w:val="nil"/>
              <w:bottom w:val="single" w:color="auto" w:sz="4" w:space="0"/>
              <w:right w:val="single" w:color="auto" w:sz="4" w:space="0"/>
            </w:tcBorders>
            <w:noWrap w:val="0"/>
            <w:vAlign w:val="center"/>
          </w:tcPr>
          <w:p w14:paraId="3217428F">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w:t>
            </w:r>
          </w:p>
        </w:tc>
        <w:tc>
          <w:tcPr>
            <w:tcW w:w="567" w:type="dxa"/>
            <w:gridSpan w:val="2"/>
            <w:tcBorders>
              <w:top w:val="nil"/>
              <w:left w:val="nil"/>
              <w:bottom w:val="single" w:color="auto" w:sz="4" w:space="0"/>
              <w:right w:val="single" w:color="auto" w:sz="4" w:space="0"/>
            </w:tcBorders>
            <w:noWrap w:val="0"/>
            <w:vAlign w:val="center"/>
          </w:tcPr>
          <w:p w14:paraId="23E190AB">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20</w:t>
            </w:r>
          </w:p>
        </w:tc>
        <w:tc>
          <w:tcPr>
            <w:tcW w:w="1417" w:type="dxa"/>
            <w:gridSpan w:val="2"/>
            <w:tcBorders>
              <w:top w:val="single" w:color="auto" w:sz="4" w:space="0"/>
              <w:left w:val="nil"/>
              <w:bottom w:val="single" w:color="auto" w:sz="4" w:space="0"/>
              <w:right w:val="single" w:color="auto" w:sz="4" w:space="0"/>
            </w:tcBorders>
            <w:noWrap w:val="0"/>
            <w:vAlign w:val="center"/>
          </w:tcPr>
          <w:p w14:paraId="3F47B294">
            <w:pPr>
              <w:widowControl/>
              <w:spacing w:line="240" w:lineRule="exact"/>
              <w:jc w:val="center"/>
              <w:rPr>
                <w:rFonts w:ascii="宋体" w:hAnsi="宋体" w:eastAsia="宋体" w:cs="宋体"/>
                <w:kern w:val="0"/>
                <w:sz w:val="20"/>
                <w:szCs w:val="20"/>
              </w:rPr>
            </w:pPr>
          </w:p>
        </w:tc>
      </w:tr>
      <w:tr w14:paraId="01C985E6">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25F0A4CD">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494031FA">
            <w:pPr>
              <w:widowControl/>
              <w:spacing w:line="240" w:lineRule="exact"/>
              <w:jc w:val="center"/>
              <w:rPr>
                <w:rFonts w:ascii="宋体" w:hAnsi="宋体" w:eastAsia="宋体" w:cs="宋体"/>
                <w:kern w:val="0"/>
                <w:sz w:val="20"/>
                <w:szCs w:val="20"/>
              </w:rPr>
            </w:pPr>
          </w:p>
        </w:tc>
        <w:tc>
          <w:tcPr>
            <w:tcW w:w="1112" w:type="dxa"/>
            <w:vMerge w:val="restart"/>
            <w:tcBorders>
              <w:top w:val="nil"/>
              <w:left w:val="single" w:color="auto" w:sz="4" w:space="0"/>
              <w:bottom w:val="single" w:color="auto" w:sz="4" w:space="0"/>
              <w:right w:val="single" w:color="auto" w:sz="4" w:space="0"/>
            </w:tcBorders>
            <w:noWrap w:val="0"/>
            <w:vAlign w:val="center"/>
          </w:tcPr>
          <w:p w14:paraId="71AA1B2F">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成本指标</w:t>
            </w:r>
          </w:p>
        </w:tc>
        <w:tc>
          <w:tcPr>
            <w:tcW w:w="2218" w:type="dxa"/>
            <w:gridSpan w:val="3"/>
            <w:tcBorders>
              <w:top w:val="single" w:color="auto" w:sz="4" w:space="0"/>
              <w:left w:val="nil"/>
              <w:bottom w:val="single" w:color="auto" w:sz="4" w:space="0"/>
              <w:right w:val="single" w:color="auto" w:sz="4" w:space="0"/>
            </w:tcBorders>
            <w:noWrap w:val="0"/>
            <w:vAlign w:val="center"/>
          </w:tcPr>
          <w:p w14:paraId="12D12F4E">
            <w:pPr>
              <w:widowControl/>
              <w:spacing w:line="240" w:lineRule="exact"/>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指标1：</w:t>
            </w:r>
          </w:p>
        </w:tc>
        <w:tc>
          <w:tcPr>
            <w:tcW w:w="650" w:type="dxa"/>
            <w:tcBorders>
              <w:top w:val="nil"/>
              <w:left w:val="nil"/>
              <w:bottom w:val="single" w:color="auto" w:sz="4" w:space="0"/>
              <w:right w:val="single" w:color="auto" w:sz="4" w:space="0"/>
            </w:tcBorders>
            <w:noWrap w:val="0"/>
            <w:vAlign w:val="center"/>
          </w:tcPr>
          <w:p w14:paraId="16A2D57E">
            <w:pPr>
              <w:widowControl/>
              <w:spacing w:line="240" w:lineRule="exact"/>
              <w:jc w:val="center"/>
              <w:rPr>
                <w:rFonts w:ascii="宋体" w:hAnsi="宋体" w:eastAsia="宋体" w:cs="宋体"/>
                <w:kern w:val="0"/>
                <w:sz w:val="20"/>
                <w:szCs w:val="20"/>
              </w:rPr>
            </w:pPr>
          </w:p>
        </w:tc>
        <w:tc>
          <w:tcPr>
            <w:tcW w:w="981" w:type="dxa"/>
            <w:tcBorders>
              <w:top w:val="nil"/>
              <w:left w:val="nil"/>
              <w:bottom w:val="single" w:color="auto" w:sz="4" w:space="0"/>
              <w:right w:val="single" w:color="auto" w:sz="4" w:space="0"/>
            </w:tcBorders>
            <w:noWrap w:val="0"/>
            <w:vAlign w:val="center"/>
          </w:tcPr>
          <w:p w14:paraId="67BC301D">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3978B97B">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3D43E8D2">
            <w:pPr>
              <w:widowControl/>
              <w:spacing w:line="240" w:lineRule="exact"/>
              <w:jc w:val="center"/>
              <w:rPr>
                <w:rFonts w:ascii="宋体" w:hAnsi="宋体" w:eastAsia="宋体" w:cs="宋体"/>
                <w:kern w:val="0"/>
                <w:sz w:val="20"/>
                <w:szCs w:val="20"/>
              </w:rPr>
            </w:pPr>
          </w:p>
        </w:tc>
        <w:tc>
          <w:tcPr>
            <w:tcW w:w="1417" w:type="dxa"/>
            <w:gridSpan w:val="2"/>
            <w:tcBorders>
              <w:top w:val="single" w:color="auto" w:sz="4" w:space="0"/>
              <w:left w:val="nil"/>
              <w:bottom w:val="single" w:color="auto" w:sz="4" w:space="0"/>
              <w:right w:val="single" w:color="auto" w:sz="4" w:space="0"/>
            </w:tcBorders>
            <w:noWrap w:val="0"/>
            <w:vAlign w:val="center"/>
          </w:tcPr>
          <w:p w14:paraId="2998743F">
            <w:pPr>
              <w:widowControl/>
              <w:spacing w:line="240" w:lineRule="exact"/>
              <w:jc w:val="center"/>
              <w:rPr>
                <w:rFonts w:ascii="宋体" w:hAnsi="宋体" w:eastAsia="宋体" w:cs="宋体"/>
                <w:kern w:val="0"/>
                <w:sz w:val="20"/>
                <w:szCs w:val="20"/>
              </w:rPr>
            </w:pPr>
          </w:p>
        </w:tc>
      </w:tr>
      <w:tr w14:paraId="6DB943AC">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47FDD2CF">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40B707BD">
            <w:pPr>
              <w:widowControl/>
              <w:spacing w:line="240" w:lineRule="exact"/>
              <w:jc w:val="center"/>
              <w:rPr>
                <w:rFonts w:ascii="宋体" w:hAnsi="宋体" w:eastAsia="宋体" w:cs="宋体"/>
                <w:kern w:val="0"/>
                <w:sz w:val="20"/>
                <w:szCs w:val="20"/>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43BE4C0E">
            <w:pPr>
              <w:widowControl/>
              <w:spacing w:line="240" w:lineRule="exact"/>
              <w:jc w:val="center"/>
              <w:rPr>
                <w:rFonts w:ascii="宋体" w:hAnsi="宋体" w:eastAsia="宋体" w:cs="宋体"/>
                <w:kern w:val="0"/>
                <w:sz w:val="20"/>
                <w:szCs w:val="20"/>
              </w:rPr>
            </w:pPr>
          </w:p>
        </w:tc>
        <w:tc>
          <w:tcPr>
            <w:tcW w:w="2218" w:type="dxa"/>
            <w:gridSpan w:val="3"/>
            <w:tcBorders>
              <w:top w:val="single" w:color="auto" w:sz="4" w:space="0"/>
              <w:left w:val="nil"/>
              <w:bottom w:val="single" w:color="auto" w:sz="4" w:space="0"/>
              <w:right w:val="single" w:color="auto" w:sz="4" w:space="0"/>
            </w:tcBorders>
            <w:noWrap w:val="0"/>
            <w:vAlign w:val="center"/>
          </w:tcPr>
          <w:p w14:paraId="0731BC64">
            <w:pPr>
              <w:widowControl/>
              <w:spacing w:line="240" w:lineRule="exact"/>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指标2：</w:t>
            </w:r>
          </w:p>
        </w:tc>
        <w:tc>
          <w:tcPr>
            <w:tcW w:w="650" w:type="dxa"/>
            <w:tcBorders>
              <w:top w:val="nil"/>
              <w:left w:val="nil"/>
              <w:bottom w:val="single" w:color="auto" w:sz="4" w:space="0"/>
              <w:right w:val="single" w:color="auto" w:sz="4" w:space="0"/>
            </w:tcBorders>
            <w:noWrap w:val="0"/>
            <w:vAlign w:val="center"/>
          </w:tcPr>
          <w:p w14:paraId="03A5C04E">
            <w:pPr>
              <w:widowControl/>
              <w:spacing w:line="240" w:lineRule="exact"/>
              <w:jc w:val="center"/>
              <w:rPr>
                <w:rFonts w:ascii="宋体" w:hAnsi="宋体" w:eastAsia="宋体" w:cs="宋体"/>
                <w:kern w:val="0"/>
                <w:sz w:val="20"/>
                <w:szCs w:val="20"/>
              </w:rPr>
            </w:pPr>
          </w:p>
        </w:tc>
        <w:tc>
          <w:tcPr>
            <w:tcW w:w="981" w:type="dxa"/>
            <w:tcBorders>
              <w:top w:val="nil"/>
              <w:left w:val="nil"/>
              <w:bottom w:val="single" w:color="auto" w:sz="4" w:space="0"/>
              <w:right w:val="single" w:color="auto" w:sz="4" w:space="0"/>
            </w:tcBorders>
            <w:noWrap w:val="0"/>
            <w:vAlign w:val="center"/>
          </w:tcPr>
          <w:p w14:paraId="3CD8AED1">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153F6CD4">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3343C17E">
            <w:pPr>
              <w:widowControl/>
              <w:spacing w:line="240" w:lineRule="exact"/>
              <w:jc w:val="center"/>
              <w:rPr>
                <w:rFonts w:ascii="宋体" w:hAnsi="宋体" w:eastAsia="宋体" w:cs="宋体"/>
                <w:kern w:val="0"/>
                <w:sz w:val="20"/>
                <w:szCs w:val="20"/>
              </w:rPr>
            </w:pPr>
          </w:p>
        </w:tc>
        <w:tc>
          <w:tcPr>
            <w:tcW w:w="1417" w:type="dxa"/>
            <w:gridSpan w:val="2"/>
            <w:tcBorders>
              <w:top w:val="single" w:color="auto" w:sz="4" w:space="0"/>
              <w:left w:val="nil"/>
              <w:bottom w:val="single" w:color="auto" w:sz="4" w:space="0"/>
              <w:right w:val="single" w:color="auto" w:sz="4" w:space="0"/>
            </w:tcBorders>
            <w:noWrap w:val="0"/>
            <w:vAlign w:val="center"/>
          </w:tcPr>
          <w:p w14:paraId="2FF9C238">
            <w:pPr>
              <w:widowControl/>
              <w:spacing w:line="240" w:lineRule="exact"/>
              <w:jc w:val="center"/>
              <w:rPr>
                <w:rFonts w:ascii="宋体" w:hAnsi="宋体" w:eastAsia="宋体" w:cs="宋体"/>
                <w:kern w:val="0"/>
                <w:sz w:val="20"/>
                <w:szCs w:val="20"/>
              </w:rPr>
            </w:pPr>
          </w:p>
        </w:tc>
      </w:tr>
      <w:tr w14:paraId="343DCA8B">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7158E61D">
            <w:pPr>
              <w:widowControl/>
              <w:spacing w:line="240" w:lineRule="exact"/>
              <w:jc w:val="center"/>
              <w:rPr>
                <w:rFonts w:ascii="宋体" w:hAnsi="宋体" w:eastAsia="宋体" w:cs="宋体"/>
                <w:kern w:val="0"/>
                <w:sz w:val="20"/>
                <w:szCs w:val="20"/>
              </w:rPr>
            </w:pPr>
          </w:p>
        </w:tc>
        <w:tc>
          <w:tcPr>
            <w:tcW w:w="980" w:type="dxa"/>
            <w:vMerge w:val="restart"/>
            <w:tcBorders>
              <w:top w:val="nil"/>
              <w:left w:val="single" w:color="auto" w:sz="4" w:space="0"/>
              <w:bottom w:val="single" w:color="auto" w:sz="4" w:space="0"/>
              <w:right w:val="single" w:color="auto" w:sz="4" w:space="0"/>
            </w:tcBorders>
            <w:noWrap w:val="0"/>
            <w:vAlign w:val="center"/>
          </w:tcPr>
          <w:p w14:paraId="0E6BD680">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效益指标</w:t>
            </w:r>
          </w:p>
        </w:tc>
        <w:tc>
          <w:tcPr>
            <w:tcW w:w="1112" w:type="dxa"/>
            <w:vMerge w:val="restart"/>
            <w:tcBorders>
              <w:top w:val="nil"/>
              <w:left w:val="single" w:color="auto" w:sz="4" w:space="0"/>
              <w:bottom w:val="single" w:color="auto" w:sz="4" w:space="0"/>
              <w:right w:val="single" w:color="auto" w:sz="4" w:space="0"/>
            </w:tcBorders>
            <w:noWrap w:val="0"/>
            <w:vAlign w:val="center"/>
          </w:tcPr>
          <w:p w14:paraId="0661EBAE">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经济效益</w:t>
            </w:r>
          </w:p>
          <w:p w14:paraId="778A840D">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指标</w:t>
            </w:r>
          </w:p>
        </w:tc>
        <w:tc>
          <w:tcPr>
            <w:tcW w:w="2218" w:type="dxa"/>
            <w:gridSpan w:val="3"/>
            <w:tcBorders>
              <w:top w:val="single" w:color="auto" w:sz="4" w:space="0"/>
              <w:left w:val="nil"/>
              <w:bottom w:val="single" w:color="auto" w:sz="4" w:space="0"/>
              <w:right w:val="single" w:color="auto" w:sz="4" w:space="0"/>
            </w:tcBorders>
            <w:noWrap w:val="0"/>
            <w:vAlign w:val="center"/>
          </w:tcPr>
          <w:p w14:paraId="51D0D405">
            <w:pPr>
              <w:widowControl/>
              <w:spacing w:line="240" w:lineRule="exact"/>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指标1：</w:t>
            </w:r>
          </w:p>
        </w:tc>
        <w:tc>
          <w:tcPr>
            <w:tcW w:w="650" w:type="dxa"/>
            <w:tcBorders>
              <w:top w:val="nil"/>
              <w:left w:val="nil"/>
              <w:bottom w:val="single" w:color="auto" w:sz="4" w:space="0"/>
              <w:right w:val="single" w:color="auto" w:sz="4" w:space="0"/>
            </w:tcBorders>
            <w:noWrap w:val="0"/>
            <w:vAlign w:val="center"/>
          </w:tcPr>
          <w:p w14:paraId="2828E628">
            <w:pPr>
              <w:widowControl/>
              <w:spacing w:line="240" w:lineRule="exact"/>
              <w:jc w:val="center"/>
              <w:rPr>
                <w:rFonts w:ascii="宋体" w:hAnsi="宋体" w:eastAsia="宋体" w:cs="宋体"/>
                <w:kern w:val="0"/>
                <w:sz w:val="20"/>
                <w:szCs w:val="20"/>
              </w:rPr>
            </w:pPr>
          </w:p>
        </w:tc>
        <w:tc>
          <w:tcPr>
            <w:tcW w:w="981" w:type="dxa"/>
            <w:tcBorders>
              <w:top w:val="nil"/>
              <w:left w:val="nil"/>
              <w:bottom w:val="single" w:color="auto" w:sz="4" w:space="0"/>
              <w:right w:val="single" w:color="auto" w:sz="4" w:space="0"/>
            </w:tcBorders>
            <w:noWrap w:val="0"/>
            <w:vAlign w:val="center"/>
          </w:tcPr>
          <w:p w14:paraId="5AFF4D52">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38C7A3EC">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614F1C37">
            <w:pPr>
              <w:widowControl/>
              <w:spacing w:line="240" w:lineRule="exact"/>
              <w:jc w:val="center"/>
              <w:rPr>
                <w:rFonts w:ascii="宋体" w:hAnsi="宋体" w:eastAsia="宋体" w:cs="宋体"/>
                <w:kern w:val="0"/>
                <w:sz w:val="20"/>
                <w:szCs w:val="20"/>
              </w:rPr>
            </w:pPr>
          </w:p>
        </w:tc>
        <w:tc>
          <w:tcPr>
            <w:tcW w:w="1417" w:type="dxa"/>
            <w:gridSpan w:val="2"/>
            <w:tcBorders>
              <w:top w:val="single" w:color="auto" w:sz="4" w:space="0"/>
              <w:left w:val="nil"/>
              <w:bottom w:val="single" w:color="auto" w:sz="4" w:space="0"/>
              <w:right w:val="single" w:color="auto" w:sz="4" w:space="0"/>
            </w:tcBorders>
            <w:noWrap w:val="0"/>
            <w:vAlign w:val="center"/>
          </w:tcPr>
          <w:p w14:paraId="550A6A86">
            <w:pPr>
              <w:widowControl/>
              <w:spacing w:line="240" w:lineRule="exact"/>
              <w:jc w:val="center"/>
              <w:rPr>
                <w:rFonts w:ascii="宋体" w:hAnsi="宋体" w:eastAsia="宋体" w:cs="宋体"/>
                <w:kern w:val="0"/>
                <w:sz w:val="20"/>
                <w:szCs w:val="20"/>
              </w:rPr>
            </w:pPr>
          </w:p>
        </w:tc>
      </w:tr>
      <w:tr w14:paraId="51E339EE">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33C08785">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1FC9D3DA">
            <w:pPr>
              <w:widowControl/>
              <w:spacing w:line="240" w:lineRule="exact"/>
              <w:jc w:val="center"/>
              <w:rPr>
                <w:rFonts w:ascii="宋体" w:hAnsi="宋体" w:eastAsia="宋体" w:cs="宋体"/>
                <w:kern w:val="0"/>
                <w:sz w:val="20"/>
                <w:szCs w:val="20"/>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6085394F">
            <w:pPr>
              <w:widowControl/>
              <w:spacing w:line="240" w:lineRule="exact"/>
              <w:jc w:val="center"/>
              <w:rPr>
                <w:rFonts w:ascii="宋体" w:hAnsi="宋体" w:eastAsia="宋体" w:cs="宋体"/>
                <w:kern w:val="0"/>
                <w:sz w:val="20"/>
                <w:szCs w:val="20"/>
              </w:rPr>
            </w:pPr>
          </w:p>
        </w:tc>
        <w:tc>
          <w:tcPr>
            <w:tcW w:w="2218" w:type="dxa"/>
            <w:gridSpan w:val="3"/>
            <w:tcBorders>
              <w:top w:val="single" w:color="auto" w:sz="4" w:space="0"/>
              <w:left w:val="nil"/>
              <w:bottom w:val="single" w:color="auto" w:sz="4" w:space="0"/>
              <w:right w:val="single" w:color="auto" w:sz="4" w:space="0"/>
            </w:tcBorders>
            <w:noWrap w:val="0"/>
            <w:vAlign w:val="center"/>
          </w:tcPr>
          <w:p w14:paraId="492EF517">
            <w:pPr>
              <w:widowControl/>
              <w:spacing w:line="240" w:lineRule="exact"/>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指标2：</w:t>
            </w:r>
          </w:p>
        </w:tc>
        <w:tc>
          <w:tcPr>
            <w:tcW w:w="650" w:type="dxa"/>
            <w:tcBorders>
              <w:top w:val="nil"/>
              <w:left w:val="nil"/>
              <w:bottom w:val="single" w:color="auto" w:sz="4" w:space="0"/>
              <w:right w:val="single" w:color="auto" w:sz="4" w:space="0"/>
            </w:tcBorders>
            <w:noWrap w:val="0"/>
            <w:vAlign w:val="center"/>
          </w:tcPr>
          <w:p w14:paraId="524C0272">
            <w:pPr>
              <w:widowControl/>
              <w:spacing w:line="240" w:lineRule="exact"/>
              <w:jc w:val="center"/>
              <w:rPr>
                <w:rFonts w:ascii="宋体" w:hAnsi="宋体" w:eastAsia="宋体" w:cs="宋体"/>
                <w:kern w:val="0"/>
                <w:sz w:val="20"/>
                <w:szCs w:val="20"/>
              </w:rPr>
            </w:pPr>
          </w:p>
        </w:tc>
        <w:tc>
          <w:tcPr>
            <w:tcW w:w="981" w:type="dxa"/>
            <w:tcBorders>
              <w:top w:val="nil"/>
              <w:left w:val="nil"/>
              <w:bottom w:val="single" w:color="auto" w:sz="4" w:space="0"/>
              <w:right w:val="single" w:color="auto" w:sz="4" w:space="0"/>
            </w:tcBorders>
            <w:noWrap w:val="0"/>
            <w:vAlign w:val="center"/>
          </w:tcPr>
          <w:p w14:paraId="6F52C9D0">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4051CD88">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2698AE42">
            <w:pPr>
              <w:widowControl/>
              <w:spacing w:line="240" w:lineRule="exact"/>
              <w:jc w:val="center"/>
              <w:rPr>
                <w:rFonts w:ascii="宋体" w:hAnsi="宋体" w:eastAsia="宋体" w:cs="宋体"/>
                <w:kern w:val="0"/>
                <w:sz w:val="20"/>
                <w:szCs w:val="20"/>
              </w:rPr>
            </w:pPr>
          </w:p>
        </w:tc>
        <w:tc>
          <w:tcPr>
            <w:tcW w:w="1417" w:type="dxa"/>
            <w:gridSpan w:val="2"/>
            <w:tcBorders>
              <w:top w:val="single" w:color="auto" w:sz="4" w:space="0"/>
              <w:left w:val="nil"/>
              <w:bottom w:val="single" w:color="auto" w:sz="4" w:space="0"/>
              <w:right w:val="single" w:color="auto" w:sz="4" w:space="0"/>
            </w:tcBorders>
            <w:noWrap w:val="0"/>
            <w:vAlign w:val="center"/>
          </w:tcPr>
          <w:p w14:paraId="3DAE2F7A">
            <w:pPr>
              <w:widowControl/>
              <w:spacing w:line="240" w:lineRule="exact"/>
              <w:jc w:val="center"/>
              <w:rPr>
                <w:rFonts w:ascii="宋体" w:hAnsi="宋体" w:eastAsia="宋体" w:cs="宋体"/>
                <w:kern w:val="0"/>
                <w:sz w:val="20"/>
                <w:szCs w:val="20"/>
              </w:rPr>
            </w:pPr>
          </w:p>
        </w:tc>
      </w:tr>
      <w:tr w14:paraId="41DC1082">
        <w:tblPrEx>
          <w:tblCellMar>
            <w:top w:w="0" w:type="dxa"/>
            <w:left w:w="108" w:type="dxa"/>
            <w:bottom w:w="0" w:type="dxa"/>
            <w:right w:w="108" w:type="dxa"/>
          </w:tblCellMar>
        </w:tblPrEx>
        <w:trPr>
          <w:trHeight w:val="617" w:hRule="exact"/>
          <w:jc w:val="center"/>
        </w:trPr>
        <w:tc>
          <w:tcPr>
            <w:tcW w:w="588" w:type="dxa"/>
            <w:vMerge w:val="continue"/>
            <w:tcBorders>
              <w:left w:val="single" w:color="auto" w:sz="4" w:space="0"/>
              <w:right w:val="single" w:color="auto" w:sz="4" w:space="0"/>
            </w:tcBorders>
            <w:noWrap w:val="0"/>
            <w:vAlign w:val="center"/>
          </w:tcPr>
          <w:p w14:paraId="1788E570">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7A8CC927">
            <w:pPr>
              <w:widowControl/>
              <w:spacing w:line="240" w:lineRule="exact"/>
              <w:jc w:val="center"/>
              <w:rPr>
                <w:rFonts w:ascii="宋体" w:hAnsi="宋体" w:eastAsia="宋体" w:cs="宋体"/>
                <w:kern w:val="0"/>
                <w:sz w:val="20"/>
                <w:szCs w:val="20"/>
              </w:rPr>
            </w:pPr>
          </w:p>
        </w:tc>
        <w:tc>
          <w:tcPr>
            <w:tcW w:w="1112" w:type="dxa"/>
            <w:vMerge w:val="restart"/>
            <w:tcBorders>
              <w:top w:val="nil"/>
              <w:left w:val="single" w:color="auto" w:sz="4" w:space="0"/>
              <w:bottom w:val="single" w:color="auto" w:sz="4" w:space="0"/>
              <w:right w:val="single" w:color="auto" w:sz="4" w:space="0"/>
            </w:tcBorders>
            <w:noWrap w:val="0"/>
            <w:vAlign w:val="center"/>
          </w:tcPr>
          <w:p w14:paraId="737ED817">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社会效益</w:t>
            </w:r>
          </w:p>
          <w:p w14:paraId="1EE2A193">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指标</w:t>
            </w:r>
          </w:p>
        </w:tc>
        <w:tc>
          <w:tcPr>
            <w:tcW w:w="2218" w:type="dxa"/>
            <w:gridSpan w:val="3"/>
            <w:tcBorders>
              <w:top w:val="single" w:color="auto" w:sz="4" w:space="0"/>
              <w:left w:val="nil"/>
              <w:bottom w:val="single" w:color="auto" w:sz="4" w:space="0"/>
              <w:right w:val="single" w:color="auto" w:sz="4" w:space="0"/>
            </w:tcBorders>
            <w:noWrap w:val="0"/>
            <w:vAlign w:val="center"/>
          </w:tcPr>
          <w:p w14:paraId="726CB8B5">
            <w:pPr>
              <w:widowControl/>
              <w:spacing w:line="240" w:lineRule="exact"/>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指标1：</w:t>
            </w:r>
            <w:r>
              <w:rPr>
                <w:rFonts w:hint="eastAsia" w:ascii="宋体" w:hAnsi="宋体" w:cs="宋体"/>
                <w:color w:val="000000"/>
                <w:kern w:val="0"/>
                <w:sz w:val="20"/>
                <w:szCs w:val="20"/>
                <w:lang w:val="en-US" w:eastAsia="zh-CN"/>
              </w:rPr>
              <w:t>提升</w:t>
            </w:r>
            <w:r>
              <w:rPr>
                <w:rFonts w:hint="eastAsia" w:ascii="宋体" w:hAnsi="宋体" w:eastAsia="宋体" w:cs="宋体"/>
                <w:color w:val="000000"/>
                <w:kern w:val="0"/>
                <w:sz w:val="20"/>
                <w:szCs w:val="20"/>
                <w:lang w:val="en-US" w:eastAsia="zh-CN"/>
              </w:rPr>
              <w:t>军人荣誉感认知度</w:t>
            </w:r>
          </w:p>
        </w:tc>
        <w:tc>
          <w:tcPr>
            <w:tcW w:w="650" w:type="dxa"/>
            <w:tcBorders>
              <w:top w:val="nil"/>
              <w:left w:val="nil"/>
              <w:bottom w:val="single" w:color="auto" w:sz="4" w:space="0"/>
              <w:right w:val="single" w:color="auto" w:sz="4" w:space="0"/>
            </w:tcBorders>
            <w:noWrap w:val="0"/>
            <w:vAlign w:val="center"/>
          </w:tcPr>
          <w:p w14:paraId="711B5386">
            <w:pPr>
              <w:widowControl/>
              <w:spacing w:line="240" w:lineRule="exact"/>
              <w:jc w:val="center"/>
              <w:rPr>
                <w:rFonts w:ascii="宋体" w:hAnsi="宋体" w:eastAsia="宋体" w:cs="宋体"/>
                <w:kern w:val="0"/>
                <w:sz w:val="20"/>
                <w:szCs w:val="20"/>
              </w:rPr>
            </w:pPr>
            <w:r>
              <w:rPr>
                <w:rFonts w:hint="eastAsia" w:ascii="宋体" w:hAnsi="宋体" w:cs="宋体"/>
                <w:kern w:val="0"/>
                <w:sz w:val="20"/>
                <w:szCs w:val="20"/>
                <w:lang w:val="en-US" w:eastAsia="zh-CN"/>
              </w:rPr>
              <w:t>有效提升</w:t>
            </w:r>
          </w:p>
        </w:tc>
        <w:tc>
          <w:tcPr>
            <w:tcW w:w="981" w:type="dxa"/>
            <w:tcBorders>
              <w:top w:val="nil"/>
              <w:left w:val="nil"/>
              <w:bottom w:val="single" w:color="auto" w:sz="4" w:space="0"/>
              <w:right w:val="single" w:color="auto" w:sz="4" w:space="0"/>
            </w:tcBorders>
            <w:noWrap w:val="0"/>
            <w:vAlign w:val="center"/>
          </w:tcPr>
          <w:p w14:paraId="5A2FFCEF">
            <w:pPr>
              <w:widowControl/>
              <w:spacing w:line="240" w:lineRule="exact"/>
              <w:jc w:val="center"/>
              <w:rPr>
                <w:rFonts w:ascii="宋体" w:hAnsi="宋体" w:eastAsia="宋体" w:cs="宋体"/>
                <w:kern w:val="0"/>
                <w:sz w:val="20"/>
                <w:szCs w:val="20"/>
              </w:rPr>
            </w:pPr>
            <w:r>
              <w:rPr>
                <w:rFonts w:hint="eastAsia" w:ascii="宋体" w:hAnsi="宋体" w:cs="宋体"/>
                <w:kern w:val="0"/>
                <w:sz w:val="20"/>
                <w:szCs w:val="20"/>
                <w:lang w:val="en-US" w:eastAsia="zh-CN"/>
              </w:rPr>
              <w:t>有效提升</w:t>
            </w:r>
          </w:p>
        </w:tc>
        <w:tc>
          <w:tcPr>
            <w:tcW w:w="567" w:type="dxa"/>
            <w:gridSpan w:val="2"/>
            <w:tcBorders>
              <w:top w:val="nil"/>
              <w:left w:val="nil"/>
              <w:bottom w:val="single" w:color="auto" w:sz="4" w:space="0"/>
              <w:right w:val="single" w:color="auto" w:sz="4" w:space="0"/>
            </w:tcBorders>
            <w:noWrap w:val="0"/>
            <w:vAlign w:val="center"/>
          </w:tcPr>
          <w:p w14:paraId="3D38B018">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10</w:t>
            </w:r>
          </w:p>
        </w:tc>
        <w:tc>
          <w:tcPr>
            <w:tcW w:w="567" w:type="dxa"/>
            <w:gridSpan w:val="2"/>
            <w:tcBorders>
              <w:top w:val="nil"/>
              <w:left w:val="nil"/>
              <w:bottom w:val="single" w:color="auto" w:sz="4" w:space="0"/>
              <w:right w:val="single" w:color="auto" w:sz="4" w:space="0"/>
            </w:tcBorders>
            <w:noWrap w:val="0"/>
            <w:vAlign w:val="center"/>
          </w:tcPr>
          <w:p w14:paraId="3DC71E1F">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14:paraId="07A4597B">
            <w:pPr>
              <w:widowControl/>
              <w:spacing w:line="240" w:lineRule="exact"/>
              <w:jc w:val="left"/>
              <w:rPr>
                <w:rFonts w:ascii="宋体" w:hAnsi="宋体" w:eastAsia="宋体" w:cs="宋体"/>
                <w:kern w:val="0"/>
                <w:sz w:val="20"/>
                <w:szCs w:val="20"/>
              </w:rPr>
            </w:pPr>
          </w:p>
        </w:tc>
      </w:tr>
      <w:tr w14:paraId="5D896F49">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0D7556E4">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310E8FB9">
            <w:pPr>
              <w:widowControl/>
              <w:spacing w:line="240" w:lineRule="exact"/>
              <w:jc w:val="center"/>
              <w:rPr>
                <w:rFonts w:ascii="宋体" w:hAnsi="宋体" w:eastAsia="宋体" w:cs="宋体"/>
                <w:kern w:val="0"/>
                <w:sz w:val="20"/>
                <w:szCs w:val="20"/>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048AE0A5">
            <w:pPr>
              <w:widowControl/>
              <w:spacing w:line="240" w:lineRule="exact"/>
              <w:jc w:val="center"/>
              <w:rPr>
                <w:rFonts w:ascii="宋体" w:hAnsi="宋体" w:eastAsia="宋体" w:cs="宋体"/>
                <w:kern w:val="0"/>
                <w:sz w:val="20"/>
                <w:szCs w:val="20"/>
              </w:rPr>
            </w:pPr>
          </w:p>
        </w:tc>
        <w:tc>
          <w:tcPr>
            <w:tcW w:w="2218" w:type="dxa"/>
            <w:gridSpan w:val="3"/>
            <w:tcBorders>
              <w:top w:val="single" w:color="auto" w:sz="4" w:space="0"/>
              <w:left w:val="nil"/>
              <w:bottom w:val="single" w:color="auto" w:sz="4" w:space="0"/>
              <w:right w:val="single" w:color="auto" w:sz="4" w:space="0"/>
            </w:tcBorders>
            <w:noWrap w:val="0"/>
            <w:vAlign w:val="center"/>
          </w:tcPr>
          <w:p w14:paraId="60E77734">
            <w:pPr>
              <w:widowControl/>
              <w:spacing w:line="240" w:lineRule="exact"/>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指标2：</w:t>
            </w:r>
          </w:p>
        </w:tc>
        <w:tc>
          <w:tcPr>
            <w:tcW w:w="650" w:type="dxa"/>
            <w:tcBorders>
              <w:top w:val="nil"/>
              <w:left w:val="nil"/>
              <w:bottom w:val="single" w:color="auto" w:sz="4" w:space="0"/>
              <w:right w:val="single" w:color="auto" w:sz="4" w:space="0"/>
            </w:tcBorders>
            <w:noWrap w:val="0"/>
            <w:vAlign w:val="center"/>
          </w:tcPr>
          <w:p w14:paraId="55F06AFD">
            <w:pPr>
              <w:widowControl/>
              <w:spacing w:line="240" w:lineRule="exact"/>
              <w:jc w:val="center"/>
              <w:rPr>
                <w:rFonts w:ascii="宋体" w:hAnsi="宋体" w:eastAsia="宋体" w:cs="宋体"/>
                <w:kern w:val="0"/>
                <w:sz w:val="20"/>
                <w:szCs w:val="20"/>
              </w:rPr>
            </w:pPr>
          </w:p>
        </w:tc>
        <w:tc>
          <w:tcPr>
            <w:tcW w:w="981" w:type="dxa"/>
            <w:tcBorders>
              <w:top w:val="nil"/>
              <w:left w:val="nil"/>
              <w:bottom w:val="single" w:color="auto" w:sz="4" w:space="0"/>
              <w:right w:val="single" w:color="auto" w:sz="4" w:space="0"/>
            </w:tcBorders>
            <w:noWrap w:val="0"/>
            <w:vAlign w:val="center"/>
          </w:tcPr>
          <w:p w14:paraId="19E95DFD">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373E6874">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2E26EAF3">
            <w:pPr>
              <w:widowControl/>
              <w:spacing w:line="240" w:lineRule="exact"/>
              <w:jc w:val="center"/>
              <w:rPr>
                <w:rFonts w:ascii="宋体" w:hAnsi="宋体" w:eastAsia="宋体" w:cs="宋体"/>
                <w:kern w:val="0"/>
                <w:sz w:val="20"/>
                <w:szCs w:val="20"/>
              </w:rPr>
            </w:pPr>
          </w:p>
        </w:tc>
        <w:tc>
          <w:tcPr>
            <w:tcW w:w="1417" w:type="dxa"/>
            <w:gridSpan w:val="2"/>
            <w:tcBorders>
              <w:top w:val="single" w:color="auto" w:sz="4" w:space="0"/>
              <w:left w:val="nil"/>
              <w:bottom w:val="single" w:color="auto" w:sz="4" w:space="0"/>
              <w:right w:val="single" w:color="auto" w:sz="4" w:space="0"/>
            </w:tcBorders>
            <w:noWrap w:val="0"/>
            <w:vAlign w:val="center"/>
          </w:tcPr>
          <w:p w14:paraId="20997D81">
            <w:pPr>
              <w:widowControl/>
              <w:spacing w:line="240" w:lineRule="exact"/>
              <w:jc w:val="center"/>
              <w:rPr>
                <w:rFonts w:ascii="宋体" w:hAnsi="宋体" w:eastAsia="宋体" w:cs="宋体"/>
                <w:kern w:val="0"/>
                <w:sz w:val="20"/>
                <w:szCs w:val="20"/>
              </w:rPr>
            </w:pPr>
          </w:p>
        </w:tc>
      </w:tr>
      <w:tr w14:paraId="36DFDC45">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5353D2FF">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27F3578C">
            <w:pPr>
              <w:widowControl/>
              <w:spacing w:line="240" w:lineRule="exact"/>
              <w:jc w:val="center"/>
              <w:rPr>
                <w:rFonts w:ascii="宋体" w:hAnsi="宋体" w:eastAsia="宋体" w:cs="宋体"/>
                <w:kern w:val="0"/>
                <w:sz w:val="20"/>
                <w:szCs w:val="20"/>
              </w:rPr>
            </w:pPr>
          </w:p>
        </w:tc>
        <w:tc>
          <w:tcPr>
            <w:tcW w:w="1112" w:type="dxa"/>
            <w:vMerge w:val="restart"/>
            <w:tcBorders>
              <w:top w:val="nil"/>
              <w:left w:val="single" w:color="auto" w:sz="4" w:space="0"/>
              <w:bottom w:val="single" w:color="auto" w:sz="4" w:space="0"/>
              <w:right w:val="single" w:color="auto" w:sz="4" w:space="0"/>
            </w:tcBorders>
            <w:noWrap w:val="0"/>
            <w:vAlign w:val="center"/>
          </w:tcPr>
          <w:p w14:paraId="656D50B5">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生态效益</w:t>
            </w:r>
          </w:p>
          <w:p w14:paraId="25F695BF">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指标</w:t>
            </w:r>
          </w:p>
        </w:tc>
        <w:tc>
          <w:tcPr>
            <w:tcW w:w="2218" w:type="dxa"/>
            <w:gridSpan w:val="3"/>
            <w:tcBorders>
              <w:top w:val="single" w:color="auto" w:sz="4" w:space="0"/>
              <w:left w:val="nil"/>
              <w:bottom w:val="single" w:color="auto" w:sz="4" w:space="0"/>
              <w:right w:val="single" w:color="auto" w:sz="4" w:space="0"/>
            </w:tcBorders>
            <w:noWrap w:val="0"/>
            <w:vAlign w:val="center"/>
          </w:tcPr>
          <w:p w14:paraId="7478D8D2">
            <w:pPr>
              <w:widowControl/>
              <w:spacing w:line="240" w:lineRule="exact"/>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指标1：</w:t>
            </w:r>
          </w:p>
        </w:tc>
        <w:tc>
          <w:tcPr>
            <w:tcW w:w="650" w:type="dxa"/>
            <w:tcBorders>
              <w:top w:val="nil"/>
              <w:left w:val="nil"/>
              <w:bottom w:val="single" w:color="auto" w:sz="4" w:space="0"/>
              <w:right w:val="single" w:color="auto" w:sz="4" w:space="0"/>
            </w:tcBorders>
            <w:noWrap w:val="0"/>
            <w:vAlign w:val="center"/>
          </w:tcPr>
          <w:p w14:paraId="088DFB5B">
            <w:pPr>
              <w:widowControl/>
              <w:spacing w:line="240" w:lineRule="exact"/>
              <w:jc w:val="center"/>
              <w:rPr>
                <w:rFonts w:ascii="宋体" w:hAnsi="宋体" w:eastAsia="宋体" w:cs="宋体"/>
                <w:kern w:val="0"/>
                <w:sz w:val="20"/>
                <w:szCs w:val="20"/>
              </w:rPr>
            </w:pPr>
          </w:p>
        </w:tc>
        <w:tc>
          <w:tcPr>
            <w:tcW w:w="981" w:type="dxa"/>
            <w:tcBorders>
              <w:top w:val="nil"/>
              <w:left w:val="nil"/>
              <w:bottom w:val="single" w:color="auto" w:sz="4" w:space="0"/>
              <w:right w:val="single" w:color="auto" w:sz="4" w:space="0"/>
            </w:tcBorders>
            <w:noWrap w:val="0"/>
            <w:vAlign w:val="center"/>
          </w:tcPr>
          <w:p w14:paraId="32D896DB">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4D8013DD">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4F7C1A38">
            <w:pPr>
              <w:widowControl/>
              <w:spacing w:line="240" w:lineRule="exact"/>
              <w:jc w:val="center"/>
              <w:rPr>
                <w:rFonts w:ascii="宋体" w:hAnsi="宋体" w:eastAsia="宋体" w:cs="宋体"/>
                <w:kern w:val="0"/>
                <w:sz w:val="20"/>
                <w:szCs w:val="20"/>
              </w:rPr>
            </w:pPr>
          </w:p>
        </w:tc>
        <w:tc>
          <w:tcPr>
            <w:tcW w:w="1417" w:type="dxa"/>
            <w:gridSpan w:val="2"/>
            <w:tcBorders>
              <w:top w:val="single" w:color="auto" w:sz="4" w:space="0"/>
              <w:left w:val="nil"/>
              <w:bottom w:val="single" w:color="auto" w:sz="4" w:space="0"/>
              <w:right w:val="single" w:color="auto" w:sz="4" w:space="0"/>
            </w:tcBorders>
            <w:noWrap w:val="0"/>
            <w:vAlign w:val="center"/>
          </w:tcPr>
          <w:p w14:paraId="7C6A091C">
            <w:pPr>
              <w:widowControl/>
              <w:spacing w:line="240" w:lineRule="exact"/>
              <w:jc w:val="center"/>
              <w:rPr>
                <w:rFonts w:ascii="宋体" w:hAnsi="宋体" w:eastAsia="宋体" w:cs="宋体"/>
                <w:kern w:val="0"/>
                <w:sz w:val="20"/>
                <w:szCs w:val="20"/>
              </w:rPr>
            </w:pPr>
          </w:p>
        </w:tc>
      </w:tr>
      <w:tr w14:paraId="115CCCD3">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2DA69A92">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7720F966">
            <w:pPr>
              <w:widowControl/>
              <w:spacing w:line="240" w:lineRule="exact"/>
              <w:jc w:val="center"/>
              <w:rPr>
                <w:rFonts w:ascii="宋体" w:hAnsi="宋体" w:eastAsia="宋体" w:cs="宋体"/>
                <w:kern w:val="0"/>
                <w:sz w:val="20"/>
                <w:szCs w:val="20"/>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63EA5644">
            <w:pPr>
              <w:widowControl/>
              <w:spacing w:line="240" w:lineRule="exact"/>
              <w:jc w:val="center"/>
              <w:rPr>
                <w:rFonts w:ascii="宋体" w:hAnsi="宋体" w:eastAsia="宋体" w:cs="宋体"/>
                <w:kern w:val="0"/>
                <w:sz w:val="20"/>
                <w:szCs w:val="20"/>
              </w:rPr>
            </w:pPr>
          </w:p>
        </w:tc>
        <w:tc>
          <w:tcPr>
            <w:tcW w:w="2218" w:type="dxa"/>
            <w:gridSpan w:val="3"/>
            <w:tcBorders>
              <w:top w:val="single" w:color="auto" w:sz="4" w:space="0"/>
              <w:left w:val="nil"/>
              <w:bottom w:val="single" w:color="auto" w:sz="4" w:space="0"/>
              <w:right w:val="single" w:color="auto" w:sz="4" w:space="0"/>
            </w:tcBorders>
            <w:noWrap w:val="0"/>
            <w:vAlign w:val="center"/>
          </w:tcPr>
          <w:p w14:paraId="2D190E5D">
            <w:pPr>
              <w:widowControl/>
              <w:spacing w:line="240" w:lineRule="exact"/>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指标2：</w:t>
            </w:r>
          </w:p>
        </w:tc>
        <w:tc>
          <w:tcPr>
            <w:tcW w:w="650" w:type="dxa"/>
            <w:tcBorders>
              <w:top w:val="nil"/>
              <w:left w:val="nil"/>
              <w:bottom w:val="single" w:color="auto" w:sz="4" w:space="0"/>
              <w:right w:val="single" w:color="auto" w:sz="4" w:space="0"/>
            </w:tcBorders>
            <w:noWrap w:val="0"/>
            <w:vAlign w:val="center"/>
          </w:tcPr>
          <w:p w14:paraId="67DAF7FE">
            <w:pPr>
              <w:widowControl/>
              <w:spacing w:line="240" w:lineRule="exact"/>
              <w:jc w:val="center"/>
              <w:rPr>
                <w:rFonts w:ascii="宋体" w:hAnsi="宋体" w:eastAsia="宋体" w:cs="宋体"/>
                <w:kern w:val="0"/>
                <w:sz w:val="20"/>
                <w:szCs w:val="20"/>
              </w:rPr>
            </w:pPr>
          </w:p>
        </w:tc>
        <w:tc>
          <w:tcPr>
            <w:tcW w:w="981" w:type="dxa"/>
            <w:tcBorders>
              <w:top w:val="nil"/>
              <w:left w:val="nil"/>
              <w:bottom w:val="single" w:color="auto" w:sz="4" w:space="0"/>
              <w:right w:val="single" w:color="auto" w:sz="4" w:space="0"/>
            </w:tcBorders>
            <w:noWrap w:val="0"/>
            <w:vAlign w:val="center"/>
          </w:tcPr>
          <w:p w14:paraId="0EA00AAF">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00B6A7C8">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56115E33">
            <w:pPr>
              <w:widowControl/>
              <w:spacing w:line="240" w:lineRule="exact"/>
              <w:jc w:val="center"/>
              <w:rPr>
                <w:rFonts w:ascii="宋体" w:hAnsi="宋体" w:eastAsia="宋体" w:cs="宋体"/>
                <w:kern w:val="0"/>
                <w:sz w:val="20"/>
                <w:szCs w:val="20"/>
              </w:rPr>
            </w:pPr>
          </w:p>
        </w:tc>
        <w:tc>
          <w:tcPr>
            <w:tcW w:w="1417" w:type="dxa"/>
            <w:gridSpan w:val="2"/>
            <w:tcBorders>
              <w:top w:val="single" w:color="auto" w:sz="4" w:space="0"/>
              <w:left w:val="nil"/>
              <w:bottom w:val="single" w:color="auto" w:sz="4" w:space="0"/>
              <w:right w:val="single" w:color="auto" w:sz="4" w:space="0"/>
            </w:tcBorders>
            <w:noWrap w:val="0"/>
            <w:vAlign w:val="center"/>
          </w:tcPr>
          <w:p w14:paraId="18D15107">
            <w:pPr>
              <w:widowControl/>
              <w:spacing w:line="240" w:lineRule="exact"/>
              <w:jc w:val="center"/>
              <w:rPr>
                <w:rFonts w:ascii="宋体" w:hAnsi="宋体" w:eastAsia="宋体" w:cs="宋体"/>
                <w:kern w:val="0"/>
                <w:sz w:val="20"/>
                <w:szCs w:val="20"/>
              </w:rPr>
            </w:pPr>
          </w:p>
        </w:tc>
      </w:tr>
      <w:tr w14:paraId="4A807FAA">
        <w:tblPrEx>
          <w:tblCellMar>
            <w:top w:w="0" w:type="dxa"/>
            <w:left w:w="108" w:type="dxa"/>
            <w:bottom w:w="0" w:type="dxa"/>
            <w:right w:w="108" w:type="dxa"/>
          </w:tblCellMar>
        </w:tblPrEx>
        <w:trPr>
          <w:trHeight w:val="370" w:hRule="exact"/>
          <w:jc w:val="center"/>
        </w:trPr>
        <w:tc>
          <w:tcPr>
            <w:tcW w:w="588" w:type="dxa"/>
            <w:vMerge w:val="continue"/>
            <w:tcBorders>
              <w:left w:val="single" w:color="auto" w:sz="4" w:space="0"/>
              <w:right w:val="single" w:color="auto" w:sz="4" w:space="0"/>
            </w:tcBorders>
            <w:noWrap w:val="0"/>
            <w:vAlign w:val="center"/>
          </w:tcPr>
          <w:p w14:paraId="152E022E">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7AC9F164">
            <w:pPr>
              <w:widowControl/>
              <w:spacing w:line="240" w:lineRule="exact"/>
              <w:jc w:val="center"/>
              <w:rPr>
                <w:rFonts w:ascii="宋体" w:hAnsi="宋体" w:eastAsia="宋体" w:cs="宋体"/>
                <w:kern w:val="0"/>
                <w:sz w:val="20"/>
                <w:szCs w:val="20"/>
              </w:rPr>
            </w:pPr>
          </w:p>
        </w:tc>
        <w:tc>
          <w:tcPr>
            <w:tcW w:w="1112" w:type="dxa"/>
            <w:vMerge w:val="restart"/>
            <w:tcBorders>
              <w:top w:val="nil"/>
              <w:left w:val="single" w:color="auto" w:sz="4" w:space="0"/>
              <w:bottom w:val="single" w:color="auto" w:sz="4" w:space="0"/>
              <w:right w:val="single" w:color="auto" w:sz="4" w:space="0"/>
            </w:tcBorders>
            <w:noWrap w:val="0"/>
            <w:vAlign w:val="center"/>
          </w:tcPr>
          <w:p w14:paraId="316AD3C8">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可持续影响指标</w:t>
            </w:r>
          </w:p>
        </w:tc>
        <w:tc>
          <w:tcPr>
            <w:tcW w:w="2218" w:type="dxa"/>
            <w:gridSpan w:val="3"/>
            <w:tcBorders>
              <w:top w:val="single" w:color="auto" w:sz="4" w:space="0"/>
              <w:left w:val="nil"/>
              <w:bottom w:val="single" w:color="auto" w:sz="4" w:space="0"/>
              <w:right w:val="single" w:color="auto" w:sz="4" w:space="0"/>
            </w:tcBorders>
            <w:noWrap w:val="0"/>
            <w:vAlign w:val="center"/>
          </w:tcPr>
          <w:p w14:paraId="3C789005">
            <w:pPr>
              <w:widowControl/>
              <w:spacing w:line="240" w:lineRule="exact"/>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指标1：</w:t>
            </w:r>
          </w:p>
        </w:tc>
        <w:tc>
          <w:tcPr>
            <w:tcW w:w="650" w:type="dxa"/>
            <w:tcBorders>
              <w:top w:val="nil"/>
              <w:left w:val="nil"/>
              <w:bottom w:val="single" w:color="auto" w:sz="4" w:space="0"/>
              <w:right w:val="single" w:color="auto" w:sz="4" w:space="0"/>
            </w:tcBorders>
            <w:noWrap w:val="0"/>
            <w:vAlign w:val="center"/>
          </w:tcPr>
          <w:p w14:paraId="1DEAF6CF">
            <w:pPr>
              <w:widowControl/>
              <w:spacing w:line="240" w:lineRule="exact"/>
              <w:jc w:val="center"/>
              <w:rPr>
                <w:rFonts w:hint="default" w:ascii="宋体" w:hAnsi="宋体" w:eastAsia="宋体" w:cs="宋体"/>
                <w:kern w:val="0"/>
                <w:sz w:val="20"/>
                <w:szCs w:val="20"/>
                <w:lang w:val="en-US" w:eastAsia="zh-CN" w:bidi="ar-SA"/>
              </w:rPr>
            </w:pPr>
          </w:p>
        </w:tc>
        <w:tc>
          <w:tcPr>
            <w:tcW w:w="981" w:type="dxa"/>
            <w:tcBorders>
              <w:top w:val="nil"/>
              <w:left w:val="nil"/>
              <w:bottom w:val="single" w:color="auto" w:sz="4" w:space="0"/>
              <w:right w:val="single" w:color="auto" w:sz="4" w:space="0"/>
            </w:tcBorders>
            <w:noWrap w:val="0"/>
            <w:vAlign w:val="center"/>
          </w:tcPr>
          <w:p w14:paraId="03FFDFEA">
            <w:pPr>
              <w:widowControl/>
              <w:spacing w:line="240" w:lineRule="exact"/>
              <w:jc w:val="center"/>
              <w:rPr>
                <w:rFonts w:hint="default" w:ascii="宋体" w:hAnsi="宋体" w:eastAsia="宋体" w:cs="宋体"/>
                <w:kern w:val="0"/>
                <w:sz w:val="20"/>
                <w:szCs w:val="20"/>
                <w:lang w:val="en-US" w:eastAsia="zh-CN" w:bidi="ar-SA"/>
              </w:rPr>
            </w:pPr>
          </w:p>
        </w:tc>
        <w:tc>
          <w:tcPr>
            <w:tcW w:w="567" w:type="dxa"/>
            <w:gridSpan w:val="2"/>
            <w:tcBorders>
              <w:top w:val="nil"/>
              <w:left w:val="nil"/>
              <w:bottom w:val="single" w:color="auto" w:sz="4" w:space="0"/>
              <w:right w:val="single" w:color="auto" w:sz="4" w:space="0"/>
            </w:tcBorders>
            <w:noWrap w:val="0"/>
            <w:vAlign w:val="center"/>
          </w:tcPr>
          <w:p w14:paraId="63B10A71">
            <w:pPr>
              <w:widowControl/>
              <w:spacing w:line="240" w:lineRule="exact"/>
              <w:jc w:val="center"/>
              <w:rPr>
                <w:rFonts w:hint="default" w:ascii="宋体" w:hAnsi="宋体" w:eastAsia="宋体" w:cs="宋体"/>
                <w:kern w:val="0"/>
                <w:sz w:val="20"/>
                <w:szCs w:val="20"/>
                <w:lang w:val="en-US" w:eastAsia="zh-CN" w:bidi="ar-SA"/>
              </w:rPr>
            </w:pPr>
          </w:p>
        </w:tc>
        <w:tc>
          <w:tcPr>
            <w:tcW w:w="567" w:type="dxa"/>
            <w:gridSpan w:val="2"/>
            <w:tcBorders>
              <w:top w:val="nil"/>
              <w:left w:val="nil"/>
              <w:bottom w:val="single" w:color="auto" w:sz="4" w:space="0"/>
              <w:right w:val="single" w:color="auto" w:sz="4" w:space="0"/>
            </w:tcBorders>
            <w:noWrap w:val="0"/>
            <w:vAlign w:val="center"/>
          </w:tcPr>
          <w:p w14:paraId="126854BC">
            <w:pPr>
              <w:widowControl/>
              <w:spacing w:line="240" w:lineRule="exact"/>
              <w:jc w:val="center"/>
              <w:rPr>
                <w:rFonts w:hint="default" w:ascii="宋体" w:hAnsi="宋体" w:eastAsia="宋体" w:cs="宋体"/>
                <w:kern w:val="0"/>
                <w:sz w:val="20"/>
                <w:szCs w:val="20"/>
                <w:lang w:val="en-US" w:eastAsia="zh-CN" w:bidi="ar-SA"/>
              </w:rPr>
            </w:pPr>
          </w:p>
        </w:tc>
        <w:tc>
          <w:tcPr>
            <w:tcW w:w="1417" w:type="dxa"/>
            <w:gridSpan w:val="2"/>
            <w:tcBorders>
              <w:top w:val="single" w:color="auto" w:sz="4" w:space="0"/>
              <w:left w:val="nil"/>
              <w:bottom w:val="single" w:color="auto" w:sz="4" w:space="0"/>
              <w:right w:val="single" w:color="auto" w:sz="4" w:space="0"/>
            </w:tcBorders>
            <w:noWrap w:val="0"/>
            <w:vAlign w:val="center"/>
          </w:tcPr>
          <w:p w14:paraId="732E424A">
            <w:pPr>
              <w:widowControl/>
              <w:spacing w:line="240" w:lineRule="exact"/>
              <w:jc w:val="center"/>
              <w:rPr>
                <w:rFonts w:ascii="宋体" w:hAnsi="宋体" w:eastAsia="宋体" w:cs="宋体"/>
                <w:kern w:val="0"/>
                <w:sz w:val="20"/>
                <w:szCs w:val="20"/>
              </w:rPr>
            </w:pPr>
          </w:p>
        </w:tc>
      </w:tr>
      <w:tr w14:paraId="547EAF2A">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10366BD1">
            <w:pPr>
              <w:widowControl/>
              <w:spacing w:line="240" w:lineRule="exact"/>
              <w:jc w:val="center"/>
              <w:rPr>
                <w:rFonts w:ascii="宋体" w:hAnsi="宋体" w:eastAsia="宋体" w:cs="宋体"/>
                <w:kern w:val="0"/>
                <w:sz w:val="20"/>
                <w:szCs w:val="20"/>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403452B0">
            <w:pPr>
              <w:widowControl/>
              <w:spacing w:line="240" w:lineRule="exact"/>
              <w:jc w:val="center"/>
              <w:rPr>
                <w:rFonts w:ascii="宋体" w:hAnsi="宋体" w:eastAsia="宋体" w:cs="宋体"/>
                <w:kern w:val="0"/>
                <w:sz w:val="20"/>
                <w:szCs w:val="20"/>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3F5154D8">
            <w:pPr>
              <w:widowControl/>
              <w:spacing w:line="240" w:lineRule="exact"/>
              <w:jc w:val="center"/>
              <w:rPr>
                <w:rFonts w:ascii="宋体" w:hAnsi="宋体" w:eastAsia="宋体" w:cs="宋体"/>
                <w:kern w:val="0"/>
                <w:sz w:val="20"/>
                <w:szCs w:val="20"/>
              </w:rPr>
            </w:pPr>
          </w:p>
        </w:tc>
        <w:tc>
          <w:tcPr>
            <w:tcW w:w="2218" w:type="dxa"/>
            <w:gridSpan w:val="3"/>
            <w:tcBorders>
              <w:top w:val="single" w:color="auto" w:sz="4" w:space="0"/>
              <w:left w:val="nil"/>
              <w:bottom w:val="single" w:color="auto" w:sz="4" w:space="0"/>
              <w:right w:val="single" w:color="auto" w:sz="4" w:space="0"/>
            </w:tcBorders>
            <w:noWrap w:val="0"/>
            <w:vAlign w:val="center"/>
          </w:tcPr>
          <w:p w14:paraId="2DD65E22">
            <w:pPr>
              <w:widowControl/>
              <w:spacing w:line="240" w:lineRule="exact"/>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指标2：</w:t>
            </w:r>
          </w:p>
        </w:tc>
        <w:tc>
          <w:tcPr>
            <w:tcW w:w="650" w:type="dxa"/>
            <w:tcBorders>
              <w:top w:val="nil"/>
              <w:left w:val="nil"/>
              <w:bottom w:val="single" w:color="auto" w:sz="4" w:space="0"/>
              <w:right w:val="single" w:color="auto" w:sz="4" w:space="0"/>
            </w:tcBorders>
            <w:noWrap w:val="0"/>
            <w:vAlign w:val="center"/>
          </w:tcPr>
          <w:p w14:paraId="1D1EA33C">
            <w:pPr>
              <w:widowControl/>
              <w:spacing w:line="240" w:lineRule="exact"/>
              <w:jc w:val="center"/>
              <w:rPr>
                <w:rFonts w:ascii="宋体" w:hAnsi="宋体" w:eastAsia="宋体" w:cs="宋体"/>
                <w:kern w:val="0"/>
                <w:sz w:val="20"/>
                <w:szCs w:val="20"/>
              </w:rPr>
            </w:pPr>
          </w:p>
        </w:tc>
        <w:tc>
          <w:tcPr>
            <w:tcW w:w="981" w:type="dxa"/>
            <w:tcBorders>
              <w:top w:val="nil"/>
              <w:left w:val="nil"/>
              <w:bottom w:val="single" w:color="auto" w:sz="4" w:space="0"/>
              <w:right w:val="single" w:color="auto" w:sz="4" w:space="0"/>
            </w:tcBorders>
            <w:noWrap w:val="0"/>
            <w:vAlign w:val="center"/>
          </w:tcPr>
          <w:p w14:paraId="50EF94D8">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51BF8E29">
            <w:pPr>
              <w:widowControl/>
              <w:spacing w:line="240" w:lineRule="exact"/>
              <w:jc w:val="center"/>
              <w:rPr>
                <w:rFonts w:ascii="宋体" w:hAnsi="宋体" w:eastAsia="宋体" w:cs="宋体"/>
                <w:kern w:val="0"/>
                <w:sz w:val="20"/>
                <w:szCs w:val="20"/>
              </w:rPr>
            </w:pPr>
          </w:p>
        </w:tc>
        <w:tc>
          <w:tcPr>
            <w:tcW w:w="567" w:type="dxa"/>
            <w:gridSpan w:val="2"/>
            <w:tcBorders>
              <w:top w:val="nil"/>
              <w:left w:val="nil"/>
              <w:bottom w:val="single" w:color="auto" w:sz="4" w:space="0"/>
              <w:right w:val="single" w:color="auto" w:sz="4" w:space="0"/>
            </w:tcBorders>
            <w:noWrap w:val="0"/>
            <w:vAlign w:val="center"/>
          </w:tcPr>
          <w:p w14:paraId="07D27529">
            <w:pPr>
              <w:widowControl/>
              <w:spacing w:line="240" w:lineRule="exact"/>
              <w:jc w:val="center"/>
              <w:rPr>
                <w:rFonts w:ascii="宋体" w:hAnsi="宋体" w:eastAsia="宋体" w:cs="宋体"/>
                <w:kern w:val="0"/>
                <w:sz w:val="20"/>
                <w:szCs w:val="20"/>
              </w:rPr>
            </w:pPr>
          </w:p>
        </w:tc>
        <w:tc>
          <w:tcPr>
            <w:tcW w:w="1417" w:type="dxa"/>
            <w:gridSpan w:val="2"/>
            <w:tcBorders>
              <w:top w:val="single" w:color="auto" w:sz="4" w:space="0"/>
              <w:left w:val="nil"/>
              <w:bottom w:val="single" w:color="auto" w:sz="4" w:space="0"/>
              <w:right w:val="single" w:color="auto" w:sz="4" w:space="0"/>
            </w:tcBorders>
            <w:noWrap w:val="0"/>
            <w:vAlign w:val="center"/>
          </w:tcPr>
          <w:p w14:paraId="18265D44">
            <w:pPr>
              <w:widowControl/>
              <w:spacing w:line="240" w:lineRule="exact"/>
              <w:jc w:val="center"/>
              <w:rPr>
                <w:rFonts w:ascii="宋体" w:hAnsi="宋体" w:eastAsia="宋体" w:cs="宋体"/>
                <w:kern w:val="0"/>
                <w:sz w:val="20"/>
                <w:szCs w:val="20"/>
              </w:rPr>
            </w:pPr>
          </w:p>
        </w:tc>
      </w:tr>
      <w:tr w14:paraId="1B7B4AC6">
        <w:tblPrEx>
          <w:tblCellMar>
            <w:top w:w="0" w:type="dxa"/>
            <w:left w:w="108" w:type="dxa"/>
            <w:bottom w:w="0" w:type="dxa"/>
            <w:right w:w="108" w:type="dxa"/>
          </w:tblCellMar>
        </w:tblPrEx>
        <w:trPr>
          <w:trHeight w:val="705" w:hRule="exact"/>
          <w:jc w:val="center"/>
        </w:trPr>
        <w:tc>
          <w:tcPr>
            <w:tcW w:w="588" w:type="dxa"/>
            <w:vMerge w:val="continue"/>
            <w:tcBorders>
              <w:left w:val="single" w:color="auto" w:sz="4" w:space="0"/>
              <w:right w:val="single" w:color="auto" w:sz="4" w:space="0"/>
            </w:tcBorders>
            <w:noWrap w:val="0"/>
            <w:vAlign w:val="center"/>
          </w:tcPr>
          <w:p w14:paraId="408CEB23">
            <w:pPr>
              <w:widowControl/>
              <w:spacing w:line="240" w:lineRule="exact"/>
              <w:jc w:val="center"/>
              <w:rPr>
                <w:rFonts w:ascii="宋体" w:hAnsi="宋体" w:eastAsia="宋体" w:cs="宋体"/>
                <w:kern w:val="0"/>
                <w:sz w:val="20"/>
                <w:szCs w:val="20"/>
              </w:rPr>
            </w:pPr>
          </w:p>
        </w:tc>
        <w:tc>
          <w:tcPr>
            <w:tcW w:w="980" w:type="dxa"/>
            <w:vMerge w:val="restart"/>
            <w:tcBorders>
              <w:top w:val="nil"/>
              <w:left w:val="single" w:color="auto" w:sz="4" w:space="0"/>
              <w:right w:val="single" w:color="auto" w:sz="4" w:space="0"/>
            </w:tcBorders>
            <w:noWrap w:val="0"/>
            <w:vAlign w:val="center"/>
          </w:tcPr>
          <w:p w14:paraId="1EC9AB95">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满意度</w:t>
            </w:r>
          </w:p>
          <w:p w14:paraId="3D9BB073">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指标</w:t>
            </w:r>
          </w:p>
        </w:tc>
        <w:tc>
          <w:tcPr>
            <w:tcW w:w="1112" w:type="dxa"/>
            <w:vMerge w:val="restart"/>
            <w:tcBorders>
              <w:top w:val="nil"/>
              <w:left w:val="single" w:color="auto" w:sz="4" w:space="0"/>
              <w:bottom w:val="single" w:color="auto" w:sz="4" w:space="0"/>
              <w:right w:val="single" w:color="auto" w:sz="4" w:space="0"/>
            </w:tcBorders>
            <w:noWrap w:val="0"/>
            <w:vAlign w:val="center"/>
          </w:tcPr>
          <w:p w14:paraId="2601D02D">
            <w:pPr>
              <w:widowControl/>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服务对象满意度指标</w:t>
            </w:r>
          </w:p>
        </w:tc>
        <w:tc>
          <w:tcPr>
            <w:tcW w:w="2218" w:type="dxa"/>
            <w:gridSpan w:val="3"/>
            <w:tcBorders>
              <w:top w:val="single" w:color="auto" w:sz="4" w:space="0"/>
              <w:left w:val="nil"/>
              <w:bottom w:val="single" w:color="auto" w:sz="4" w:space="0"/>
              <w:right w:val="single" w:color="auto" w:sz="4" w:space="0"/>
            </w:tcBorders>
            <w:noWrap w:val="0"/>
            <w:vAlign w:val="center"/>
          </w:tcPr>
          <w:p w14:paraId="056B9992">
            <w:pPr>
              <w:widowControl/>
              <w:spacing w:line="240" w:lineRule="exact"/>
              <w:jc w:val="left"/>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指标1：符合发放条件军属满意度</w:t>
            </w:r>
          </w:p>
        </w:tc>
        <w:tc>
          <w:tcPr>
            <w:tcW w:w="650" w:type="dxa"/>
            <w:tcBorders>
              <w:top w:val="nil"/>
              <w:left w:val="nil"/>
              <w:bottom w:val="single" w:color="auto" w:sz="4" w:space="0"/>
              <w:right w:val="single" w:color="auto" w:sz="4" w:space="0"/>
            </w:tcBorders>
            <w:noWrap w:val="0"/>
            <w:vAlign w:val="center"/>
          </w:tcPr>
          <w:p w14:paraId="6502479E">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90%</w:t>
            </w:r>
          </w:p>
        </w:tc>
        <w:tc>
          <w:tcPr>
            <w:tcW w:w="981" w:type="dxa"/>
            <w:tcBorders>
              <w:top w:val="nil"/>
              <w:left w:val="nil"/>
              <w:bottom w:val="single" w:color="auto" w:sz="4" w:space="0"/>
              <w:right w:val="single" w:color="auto" w:sz="4" w:space="0"/>
            </w:tcBorders>
            <w:noWrap w:val="0"/>
            <w:vAlign w:val="center"/>
          </w:tcPr>
          <w:p w14:paraId="453C7B66">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w:t>
            </w:r>
          </w:p>
        </w:tc>
        <w:tc>
          <w:tcPr>
            <w:tcW w:w="567" w:type="dxa"/>
            <w:gridSpan w:val="2"/>
            <w:tcBorders>
              <w:top w:val="nil"/>
              <w:left w:val="nil"/>
              <w:bottom w:val="single" w:color="auto" w:sz="4" w:space="0"/>
              <w:right w:val="single" w:color="auto" w:sz="4" w:space="0"/>
            </w:tcBorders>
            <w:noWrap w:val="0"/>
            <w:vAlign w:val="center"/>
          </w:tcPr>
          <w:p w14:paraId="1A950B88">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w:t>
            </w:r>
          </w:p>
        </w:tc>
        <w:tc>
          <w:tcPr>
            <w:tcW w:w="567" w:type="dxa"/>
            <w:gridSpan w:val="2"/>
            <w:tcBorders>
              <w:top w:val="nil"/>
              <w:left w:val="nil"/>
              <w:bottom w:val="single" w:color="auto" w:sz="4" w:space="0"/>
              <w:right w:val="single" w:color="auto" w:sz="4" w:space="0"/>
            </w:tcBorders>
            <w:noWrap w:val="0"/>
            <w:vAlign w:val="center"/>
          </w:tcPr>
          <w:p w14:paraId="61E9DC01">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14:paraId="548BB148">
            <w:pPr>
              <w:widowControl/>
              <w:spacing w:line="240" w:lineRule="exact"/>
              <w:jc w:val="center"/>
              <w:rPr>
                <w:rFonts w:ascii="宋体" w:hAnsi="宋体" w:eastAsia="宋体" w:cs="宋体"/>
                <w:kern w:val="0"/>
                <w:sz w:val="20"/>
                <w:szCs w:val="20"/>
              </w:rPr>
            </w:pPr>
          </w:p>
        </w:tc>
      </w:tr>
      <w:tr w14:paraId="65CEFF3D">
        <w:tblPrEx>
          <w:tblCellMar>
            <w:top w:w="0" w:type="dxa"/>
            <w:left w:w="108" w:type="dxa"/>
            <w:bottom w:w="0" w:type="dxa"/>
            <w:right w:w="108" w:type="dxa"/>
          </w:tblCellMar>
        </w:tblPrEx>
        <w:trPr>
          <w:trHeight w:val="510" w:hRule="exact"/>
          <w:jc w:val="center"/>
        </w:trPr>
        <w:tc>
          <w:tcPr>
            <w:tcW w:w="588" w:type="dxa"/>
            <w:vMerge w:val="continue"/>
            <w:tcBorders>
              <w:left w:val="single" w:color="auto" w:sz="4" w:space="0"/>
              <w:right w:val="single" w:color="auto" w:sz="4" w:space="0"/>
            </w:tcBorders>
            <w:noWrap w:val="0"/>
            <w:vAlign w:val="center"/>
          </w:tcPr>
          <w:p w14:paraId="4C5AC96F">
            <w:pPr>
              <w:widowControl/>
              <w:spacing w:line="240" w:lineRule="exact"/>
              <w:jc w:val="center"/>
              <w:rPr>
                <w:rFonts w:ascii="宋体" w:hAnsi="宋体" w:eastAsia="宋体" w:cs="宋体"/>
                <w:kern w:val="0"/>
                <w:sz w:val="20"/>
                <w:szCs w:val="20"/>
              </w:rPr>
            </w:pPr>
          </w:p>
        </w:tc>
        <w:tc>
          <w:tcPr>
            <w:tcW w:w="980" w:type="dxa"/>
            <w:vMerge w:val="continue"/>
            <w:tcBorders>
              <w:left w:val="single" w:color="auto" w:sz="4" w:space="0"/>
              <w:right w:val="single" w:color="auto" w:sz="4" w:space="0"/>
            </w:tcBorders>
            <w:noWrap w:val="0"/>
            <w:vAlign w:val="center"/>
          </w:tcPr>
          <w:p w14:paraId="3CD1E868">
            <w:pPr>
              <w:widowControl/>
              <w:spacing w:line="240" w:lineRule="exact"/>
              <w:jc w:val="center"/>
              <w:rPr>
                <w:rFonts w:ascii="宋体" w:hAnsi="宋体" w:eastAsia="宋体" w:cs="宋体"/>
                <w:kern w:val="0"/>
                <w:sz w:val="20"/>
                <w:szCs w:val="20"/>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32A78510">
            <w:pPr>
              <w:widowControl/>
              <w:spacing w:line="240" w:lineRule="exact"/>
              <w:jc w:val="center"/>
              <w:rPr>
                <w:rFonts w:ascii="宋体" w:hAnsi="宋体" w:eastAsia="宋体" w:cs="宋体"/>
                <w:kern w:val="0"/>
                <w:sz w:val="20"/>
                <w:szCs w:val="20"/>
              </w:rPr>
            </w:pPr>
          </w:p>
        </w:tc>
        <w:tc>
          <w:tcPr>
            <w:tcW w:w="2218" w:type="dxa"/>
            <w:gridSpan w:val="3"/>
            <w:tcBorders>
              <w:top w:val="single" w:color="auto" w:sz="4" w:space="0"/>
              <w:left w:val="nil"/>
              <w:bottom w:val="single" w:color="auto" w:sz="4" w:space="0"/>
              <w:right w:val="single" w:color="auto" w:sz="4" w:space="0"/>
            </w:tcBorders>
            <w:noWrap w:val="0"/>
            <w:vAlign w:val="center"/>
          </w:tcPr>
          <w:p w14:paraId="10FC4E5A">
            <w:pPr>
              <w:widowControl/>
              <w:spacing w:line="240" w:lineRule="exact"/>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指标2：符合发放条件军人满意度</w:t>
            </w:r>
          </w:p>
        </w:tc>
        <w:tc>
          <w:tcPr>
            <w:tcW w:w="650" w:type="dxa"/>
            <w:tcBorders>
              <w:top w:val="nil"/>
              <w:left w:val="nil"/>
              <w:bottom w:val="single" w:color="auto" w:sz="4" w:space="0"/>
              <w:right w:val="single" w:color="auto" w:sz="4" w:space="0"/>
            </w:tcBorders>
            <w:noWrap w:val="0"/>
            <w:vAlign w:val="center"/>
          </w:tcPr>
          <w:p w14:paraId="31C5743D">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90%</w:t>
            </w:r>
          </w:p>
        </w:tc>
        <w:tc>
          <w:tcPr>
            <w:tcW w:w="981" w:type="dxa"/>
            <w:tcBorders>
              <w:top w:val="nil"/>
              <w:left w:val="nil"/>
              <w:bottom w:val="single" w:color="auto" w:sz="4" w:space="0"/>
              <w:right w:val="single" w:color="auto" w:sz="4" w:space="0"/>
            </w:tcBorders>
            <w:noWrap w:val="0"/>
            <w:vAlign w:val="center"/>
          </w:tcPr>
          <w:p w14:paraId="6155B63C">
            <w:pPr>
              <w:widowControl/>
              <w:spacing w:line="240" w:lineRule="exact"/>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1</w:t>
            </w:r>
            <w:r>
              <w:rPr>
                <w:rFonts w:hint="eastAsia" w:ascii="宋体" w:hAnsi="宋体" w:eastAsia="宋体" w:cs="宋体"/>
                <w:kern w:val="0"/>
                <w:sz w:val="20"/>
                <w:szCs w:val="20"/>
                <w:lang w:val="en-US" w:eastAsia="zh-CN"/>
              </w:rPr>
              <w:t>00%</w:t>
            </w:r>
          </w:p>
        </w:tc>
        <w:tc>
          <w:tcPr>
            <w:tcW w:w="567" w:type="dxa"/>
            <w:gridSpan w:val="2"/>
            <w:tcBorders>
              <w:top w:val="nil"/>
              <w:left w:val="nil"/>
              <w:bottom w:val="single" w:color="auto" w:sz="4" w:space="0"/>
              <w:right w:val="single" w:color="auto" w:sz="4" w:space="0"/>
            </w:tcBorders>
            <w:noWrap w:val="0"/>
            <w:vAlign w:val="center"/>
          </w:tcPr>
          <w:p w14:paraId="7288E8BE">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w:t>
            </w:r>
          </w:p>
        </w:tc>
        <w:tc>
          <w:tcPr>
            <w:tcW w:w="567" w:type="dxa"/>
            <w:gridSpan w:val="2"/>
            <w:tcBorders>
              <w:top w:val="nil"/>
              <w:left w:val="nil"/>
              <w:bottom w:val="single" w:color="auto" w:sz="4" w:space="0"/>
              <w:right w:val="single" w:color="auto" w:sz="4" w:space="0"/>
            </w:tcBorders>
            <w:noWrap w:val="0"/>
            <w:vAlign w:val="center"/>
          </w:tcPr>
          <w:p w14:paraId="015D2382">
            <w:pPr>
              <w:widowControl/>
              <w:spacing w:line="240" w:lineRule="exact"/>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14:paraId="1C982DFE">
            <w:pPr>
              <w:widowControl/>
              <w:spacing w:line="240" w:lineRule="exact"/>
              <w:jc w:val="center"/>
              <w:rPr>
                <w:rFonts w:ascii="宋体" w:hAnsi="宋体" w:eastAsia="宋体" w:cs="宋体"/>
                <w:kern w:val="0"/>
                <w:sz w:val="20"/>
                <w:szCs w:val="20"/>
              </w:rPr>
            </w:pPr>
          </w:p>
        </w:tc>
      </w:tr>
      <w:tr w14:paraId="19B893BC">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14:paraId="15BB55B1">
            <w:pPr>
              <w:widowControl/>
              <w:spacing w:line="240" w:lineRule="exact"/>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总分</w:t>
            </w:r>
          </w:p>
        </w:tc>
        <w:tc>
          <w:tcPr>
            <w:tcW w:w="567" w:type="dxa"/>
            <w:gridSpan w:val="2"/>
            <w:tcBorders>
              <w:top w:val="nil"/>
              <w:left w:val="nil"/>
              <w:bottom w:val="single" w:color="auto" w:sz="4" w:space="0"/>
              <w:right w:val="single" w:color="auto" w:sz="4" w:space="0"/>
            </w:tcBorders>
            <w:noWrap w:val="0"/>
            <w:vAlign w:val="center"/>
          </w:tcPr>
          <w:p w14:paraId="546D76F9">
            <w:pPr>
              <w:widowControl/>
              <w:spacing w:line="240" w:lineRule="exact"/>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100</w:t>
            </w:r>
          </w:p>
        </w:tc>
        <w:tc>
          <w:tcPr>
            <w:tcW w:w="567" w:type="dxa"/>
            <w:gridSpan w:val="2"/>
            <w:tcBorders>
              <w:top w:val="nil"/>
              <w:left w:val="nil"/>
              <w:bottom w:val="single" w:color="auto" w:sz="4" w:space="0"/>
              <w:right w:val="single" w:color="auto" w:sz="4" w:space="0"/>
            </w:tcBorders>
            <w:noWrap w:val="0"/>
            <w:vAlign w:val="center"/>
          </w:tcPr>
          <w:p w14:paraId="4868E119">
            <w:pPr>
              <w:widowControl/>
              <w:spacing w:line="240" w:lineRule="exact"/>
              <w:jc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100</w:t>
            </w:r>
          </w:p>
        </w:tc>
        <w:tc>
          <w:tcPr>
            <w:tcW w:w="1417" w:type="dxa"/>
            <w:gridSpan w:val="2"/>
            <w:tcBorders>
              <w:top w:val="single" w:color="auto" w:sz="4" w:space="0"/>
              <w:left w:val="nil"/>
              <w:bottom w:val="single" w:color="auto" w:sz="4" w:space="0"/>
              <w:right w:val="single" w:color="auto" w:sz="4" w:space="0"/>
            </w:tcBorders>
            <w:noWrap w:val="0"/>
            <w:vAlign w:val="center"/>
          </w:tcPr>
          <w:p w14:paraId="254E1F62">
            <w:pPr>
              <w:widowControl/>
              <w:spacing w:line="240" w:lineRule="exact"/>
              <w:jc w:val="center"/>
              <w:rPr>
                <w:rFonts w:ascii="宋体" w:hAnsi="宋体" w:eastAsia="宋体" w:cs="宋体"/>
                <w:kern w:val="0"/>
                <w:sz w:val="20"/>
                <w:szCs w:val="20"/>
              </w:rPr>
            </w:pPr>
          </w:p>
        </w:tc>
      </w:tr>
    </w:tbl>
    <w:p w14:paraId="11D43C60">
      <w:pPr>
        <w:widowControl/>
        <w:spacing w:line="600" w:lineRule="exact"/>
        <w:jc w:val="center"/>
        <w:rPr>
          <w:rFonts w:hint="eastAsia" w:ascii="方正小标宋简体" w:hAnsi="方正小标宋简体" w:eastAsia="方正小标宋简体" w:cs="方正小标宋简体"/>
          <w:b w:val="0"/>
          <w:bCs w:val="0"/>
          <w:color w:val="auto"/>
          <w:sz w:val="44"/>
          <w:szCs w:val="44"/>
        </w:rPr>
      </w:pPr>
      <w:r>
        <w:rPr>
          <w:rFonts w:hint="eastAsia" w:ascii="方正小标宋简体" w:hAnsi="方正小标宋简体" w:eastAsia="方正小标宋简体" w:cs="方正小标宋简体"/>
          <w:b w:val="0"/>
          <w:bCs w:val="0"/>
          <w:color w:val="auto"/>
          <w:sz w:val="44"/>
          <w:szCs w:val="44"/>
        </w:rPr>
        <w:t>第四部分  名词解释</w:t>
      </w:r>
    </w:p>
    <w:p w14:paraId="4AAB4491">
      <w:pPr>
        <w:pStyle w:val="6"/>
        <w:spacing w:line="600" w:lineRule="atLeast"/>
        <w:ind w:firstLine="600"/>
        <w:rPr>
          <w:rFonts w:hint="eastAsia" w:ascii="仿宋" w:hAnsi="仿宋" w:eastAsia="仿宋"/>
          <w:sz w:val="32"/>
          <w:szCs w:val="32"/>
        </w:rPr>
      </w:pPr>
    </w:p>
    <w:p w14:paraId="3258C8C7">
      <w:pPr>
        <w:widowControl/>
        <w:spacing w:line="580" w:lineRule="exact"/>
        <w:ind w:firstLine="643" w:firstLineChars="200"/>
        <w:jc w:val="left"/>
        <w:rPr>
          <w:rFonts w:hint="eastAsia" w:ascii="仿宋" w:hAnsi="仿宋" w:eastAsia="仿宋"/>
          <w:b/>
          <w:bCs/>
          <w:kern w:val="0"/>
          <w:sz w:val="32"/>
          <w:szCs w:val="32"/>
        </w:rPr>
      </w:pPr>
      <w:r>
        <w:rPr>
          <w:rFonts w:hint="eastAsia" w:ascii="仿宋" w:hAnsi="仿宋" w:eastAsia="仿宋"/>
          <w:b/>
          <w:bCs/>
          <w:kern w:val="0"/>
          <w:sz w:val="32"/>
          <w:szCs w:val="32"/>
        </w:rPr>
        <w:t>一、收入科目</w:t>
      </w:r>
    </w:p>
    <w:p w14:paraId="723F5912">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（一）财政拨款：指市级财政当年拨付的资金。</w:t>
      </w:r>
    </w:p>
    <w:p w14:paraId="73C377A6">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atLeast"/>
        <w:ind w:left="0" w:right="0" w:firstLine="640" w:firstLineChars="200"/>
        <w:jc w:val="left"/>
        <w:textAlignment w:val="auto"/>
        <w:rPr>
          <w:rFonts w:hint="default" w:eastAsia="仿宋"/>
          <w:sz w:val="22"/>
          <w:szCs w:val="21"/>
          <w:lang w:val="en-US" w:eastAsia="zh-CN"/>
        </w:rPr>
      </w:pPr>
      <w:r>
        <w:rPr>
          <w:rFonts w:hint="eastAsia" w:ascii="仿宋" w:hAnsi="仿宋" w:eastAsia="仿宋"/>
          <w:kern w:val="0"/>
          <w:sz w:val="32"/>
          <w:szCs w:val="32"/>
          <w:lang w:val="en-US" w:eastAsia="zh-CN"/>
        </w:rPr>
        <w:t>（二）</w:t>
      </w:r>
      <w:r>
        <w:rPr>
          <w:rFonts w:hint="eastAsia" w:ascii="仿宋" w:hAnsi="仿宋" w:eastAsia="仿宋" w:cs="仿宋"/>
          <w:kern w:val="0"/>
          <w:sz w:val="32"/>
          <w:szCs w:val="32"/>
          <w:lang w:val="en-US" w:eastAsia="zh-CN" w:bidi="ar"/>
        </w:rPr>
        <w:t>其他收入：指除财政拨款、事业收入、事业单位经营收入等以外的各项收入。</w:t>
      </w:r>
    </w:p>
    <w:p w14:paraId="79C92CA9">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三</w:t>
      </w:r>
      <w:r>
        <w:rPr>
          <w:rFonts w:hint="eastAsia" w:ascii="仿宋" w:hAnsi="仿宋" w:eastAsia="仿宋"/>
          <w:kern w:val="0"/>
          <w:sz w:val="32"/>
          <w:szCs w:val="32"/>
        </w:rPr>
        <w:t>）上年结转和结余：填列</w:t>
      </w:r>
      <w:r>
        <w:rPr>
          <w:rFonts w:hint="eastAsia" w:ascii="仿宋" w:hAnsi="仿宋" w:eastAsia="仿宋"/>
          <w:kern w:val="0"/>
          <w:sz w:val="32"/>
          <w:szCs w:val="32"/>
          <w:lang w:eastAsia="zh-CN"/>
        </w:rPr>
        <w:t>2022</w:t>
      </w:r>
      <w:r>
        <w:rPr>
          <w:rFonts w:hint="eastAsia" w:ascii="仿宋" w:hAnsi="仿宋" w:eastAsia="仿宋"/>
          <w:kern w:val="0"/>
          <w:sz w:val="32"/>
          <w:szCs w:val="32"/>
        </w:rPr>
        <w:t>年全部结转和结余的资金数，包括当年结转结余资金和历年滚存结转结余资金。</w:t>
      </w:r>
    </w:p>
    <w:p w14:paraId="7EB9E01F">
      <w:pPr>
        <w:widowControl/>
        <w:spacing w:line="580" w:lineRule="exact"/>
        <w:ind w:firstLine="643" w:firstLineChars="200"/>
        <w:jc w:val="left"/>
        <w:rPr>
          <w:rFonts w:hint="eastAsia" w:ascii="仿宋" w:hAnsi="仿宋" w:eastAsia="仿宋"/>
          <w:b/>
          <w:bCs/>
          <w:kern w:val="0"/>
          <w:sz w:val="32"/>
          <w:szCs w:val="32"/>
        </w:rPr>
      </w:pPr>
      <w:r>
        <w:rPr>
          <w:rFonts w:hint="eastAsia" w:ascii="仿宋" w:hAnsi="仿宋" w:eastAsia="仿宋"/>
          <w:b/>
          <w:bCs/>
          <w:kern w:val="0"/>
          <w:sz w:val="32"/>
          <w:szCs w:val="32"/>
        </w:rPr>
        <w:t>二、支出科目</w:t>
      </w:r>
    </w:p>
    <w:p w14:paraId="7B8C5516">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（一）基本支出：反映为保障机构正常运转、完成日常 工作任务而发生的人员支出和公用支出。 </w:t>
      </w:r>
    </w:p>
    <w:p w14:paraId="1AEC93FA">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（二）项目支出：反映在基本支出之外为完成特定行政任务和事业发展目标所发生的支出。</w:t>
      </w:r>
    </w:p>
    <w:p w14:paraId="267A3A3B">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三</w:t>
      </w:r>
      <w:r>
        <w:rPr>
          <w:rFonts w:hint="eastAsia" w:ascii="仿宋" w:hAnsi="仿宋" w:eastAsia="仿宋" w:cs="仿宋"/>
          <w:sz w:val="32"/>
          <w:szCs w:val="32"/>
        </w:rPr>
        <w:t xml:space="preserve">）“三公”经费：反映纳入财政预决算管理的“三 公”经费，包括因公出国（境）费、公务用车购置及运行费、公务接待费。其中，因公出国（境）费反映单位公务出国（境）的国际旅费、国外城市间交通费、住宿费、伙食费、培训费、公杂费等支出；公务用车购置及运行费反映单位公务用车车 辆购置支出（含车辆购置税）及租用费、燃料费、维修费、过路过桥费、保险费、安全奖励费用等支出；公务接待费反 映单位按规定开支的各类公务接待（含外宾接待）支出。 </w:t>
      </w:r>
    </w:p>
    <w:p w14:paraId="05FE2CB5">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四</w:t>
      </w:r>
      <w:r>
        <w:rPr>
          <w:rFonts w:hint="eastAsia" w:ascii="仿宋" w:hAnsi="仿宋" w:eastAsia="仿宋" w:cs="仿宋"/>
          <w:sz w:val="32"/>
          <w:szCs w:val="32"/>
        </w:rPr>
        <w:t>）机关运行经费：为保障行政单位（包括参照公务员法管理的事业单位）运行，用于购买货物和服务的各项资金。包括办公费、印刷费、水电费、邮电费、物业管理费、差旅费、会议费、福利费、维修（护）费、培训费、专用材料费、办公设备及办公家俱购置费、劳务费、因公出国（境）费、公务用车购置及运行费、公务接待费、其他交通费以及其他费用。</w:t>
      </w:r>
    </w:p>
    <w:p w14:paraId="7882D506">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五</w:t>
      </w:r>
      <w:r>
        <w:rPr>
          <w:rFonts w:hint="eastAsia" w:ascii="仿宋" w:hAnsi="仿宋" w:eastAsia="仿宋"/>
          <w:kern w:val="0"/>
          <w:sz w:val="32"/>
          <w:szCs w:val="32"/>
        </w:rPr>
        <w:t>）社会保障和就业支出（类）行政事业单位养老支出（款）行政单位离退休（项）：反映行政单位（包括实行公务员管理的事业单位）开支的离退休经费。</w:t>
      </w:r>
    </w:p>
    <w:p w14:paraId="4A4B62D9">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六</w:t>
      </w:r>
      <w:r>
        <w:rPr>
          <w:rFonts w:hint="eastAsia" w:ascii="仿宋" w:hAnsi="仿宋" w:eastAsia="仿宋"/>
          <w:kern w:val="0"/>
          <w:sz w:val="32"/>
          <w:szCs w:val="32"/>
        </w:rPr>
        <w:t>）社会保障和就业支出（类）行政事业单位养老支出（款）事业单位离退休（项）：反映事业单位开支的离退休经费。</w:t>
      </w:r>
    </w:p>
    <w:p w14:paraId="005319A8">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七</w:t>
      </w:r>
      <w:r>
        <w:rPr>
          <w:rFonts w:hint="eastAsia" w:ascii="仿宋" w:hAnsi="仿宋" w:eastAsia="仿宋"/>
          <w:kern w:val="0"/>
          <w:sz w:val="32"/>
          <w:szCs w:val="32"/>
        </w:rPr>
        <w:t>）社会保障和就业支出（类）行政事业单位养老支出（款）机关事业单位基本养老保险缴费支出（项）：反映机关事业单位实施养老保险制度由单位缴纳的基本养老保险费支出。</w:t>
      </w:r>
    </w:p>
    <w:p w14:paraId="16A9F993">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八</w:t>
      </w:r>
      <w:r>
        <w:rPr>
          <w:rFonts w:hint="eastAsia" w:ascii="仿宋" w:hAnsi="仿宋" w:eastAsia="仿宋"/>
          <w:kern w:val="0"/>
          <w:sz w:val="32"/>
          <w:szCs w:val="32"/>
        </w:rPr>
        <w:t>）社会保障和就业支出（类）抚恤（款）其他优抚支出（项）：反映春节及八一走访慰问项目支出。</w:t>
      </w:r>
    </w:p>
    <w:p w14:paraId="1BEDB2F7">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九</w:t>
      </w:r>
      <w:r>
        <w:rPr>
          <w:rFonts w:hint="eastAsia" w:ascii="仿宋" w:hAnsi="仿宋" w:eastAsia="仿宋"/>
          <w:kern w:val="0"/>
          <w:sz w:val="32"/>
          <w:szCs w:val="32"/>
        </w:rPr>
        <w:t>）社会保障和就业支出（类）退役安置（款） 退役士兵安置（项）：对符合条件的退役士兵、转业士官的安置支出。</w:t>
      </w:r>
    </w:p>
    <w:p w14:paraId="5446F273">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十</w:t>
      </w:r>
      <w:r>
        <w:rPr>
          <w:rFonts w:hint="eastAsia" w:ascii="仿宋" w:hAnsi="仿宋" w:eastAsia="仿宋"/>
          <w:kern w:val="0"/>
          <w:sz w:val="32"/>
          <w:szCs w:val="32"/>
        </w:rPr>
        <w:t>）社会保障和就业支出（类）退役安置（款） 军队移交政府离退休干部管理机构（项）：反应民政部门管理的军休所的人员经费、公用经费以及管理机构用法建设经费等支出。</w:t>
      </w:r>
    </w:p>
    <w:p w14:paraId="14167535">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十一</w:t>
      </w:r>
      <w:r>
        <w:rPr>
          <w:rFonts w:hint="eastAsia" w:ascii="仿宋" w:hAnsi="仿宋" w:eastAsia="仿宋"/>
          <w:kern w:val="0"/>
          <w:sz w:val="32"/>
          <w:szCs w:val="32"/>
        </w:rPr>
        <w:t>）社会保障和就业支出（类）退役安置（款） 军队转业干部安置（项）：反映军转干部安置、人员经费、自主择业退役金等方面的支出。</w:t>
      </w:r>
    </w:p>
    <w:p w14:paraId="12A9B2DB">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十二</w:t>
      </w:r>
      <w:r>
        <w:rPr>
          <w:rFonts w:hint="eastAsia" w:ascii="仿宋" w:hAnsi="仿宋" w:eastAsia="仿宋"/>
          <w:kern w:val="0"/>
          <w:sz w:val="32"/>
          <w:szCs w:val="32"/>
        </w:rPr>
        <w:t>）社会保障和就业支出（类）退役安置（款） 其他退役安置支出（项）：反映上述项目以外的用于退役安置方面的支出。</w:t>
      </w:r>
    </w:p>
    <w:p w14:paraId="12846132">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十三</w:t>
      </w:r>
      <w:r>
        <w:rPr>
          <w:rFonts w:hint="eastAsia" w:ascii="仿宋" w:hAnsi="仿宋" w:eastAsia="仿宋"/>
          <w:kern w:val="0"/>
          <w:sz w:val="32"/>
          <w:szCs w:val="32"/>
        </w:rPr>
        <w:t>）社会保障和就业支出（类）退役军人管理事务（款） 行政运行（项）：反映行政单位的基本支出。</w:t>
      </w:r>
    </w:p>
    <w:p w14:paraId="366E6A51">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（十</w:t>
      </w:r>
      <w:r>
        <w:rPr>
          <w:rFonts w:hint="eastAsia" w:ascii="仿宋" w:hAnsi="仿宋" w:eastAsia="仿宋"/>
          <w:kern w:val="0"/>
          <w:sz w:val="32"/>
          <w:szCs w:val="32"/>
          <w:lang w:val="en-US" w:eastAsia="zh-CN"/>
        </w:rPr>
        <w:t>四</w:t>
      </w:r>
      <w:r>
        <w:rPr>
          <w:rFonts w:hint="eastAsia" w:ascii="仿宋" w:hAnsi="仿宋" w:eastAsia="仿宋"/>
          <w:kern w:val="0"/>
          <w:sz w:val="32"/>
          <w:szCs w:val="32"/>
        </w:rPr>
        <w:t>）社会保障和就业支出（类）退役军人管理事务（款） 拥军优属（项）：反映拥军优属活动的支出。</w:t>
      </w:r>
    </w:p>
    <w:p w14:paraId="360701E1">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（十</w:t>
      </w:r>
      <w:r>
        <w:rPr>
          <w:rFonts w:hint="eastAsia" w:ascii="仿宋" w:hAnsi="仿宋" w:eastAsia="仿宋"/>
          <w:kern w:val="0"/>
          <w:sz w:val="32"/>
          <w:szCs w:val="32"/>
          <w:lang w:val="en-US" w:eastAsia="zh-CN"/>
        </w:rPr>
        <w:t>五</w:t>
      </w:r>
      <w:r>
        <w:rPr>
          <w:rFonts w:hint="eastAsia" w:ascii="仿宋" w:hAnsi="仿宋" w:eastAsia="仿宋"/>
          <w:kern w:val="0"/>
          <w:sz w:val="32"/>
          <w:szCs w:val="32"/>
        </w:rPr>
        <w:t>）社会保障和就业支出（类）退役军人管理事务（款） 部队供应（项）：反映军供站等用于保障军队运输和饮食供应的支出。</w:t>
      </w:r>
    </w:p>
    <w:p w14:paraId="6411B49A">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（十</w:t>
      </w:r>
      <w:r>
        <w:rPr>
          <w:rFonts w:hint="eastAsia" w:ascii="仿宋" w:hAnsi="仿宋" w:eastAsia="仿宋"/>
          <w:kern w:val="0"/>
          <w:sz w:val="32"/>
          <w:szCs w:val="32"/>
          <w:lang w:val="en-US" w:eastAsia="zh-CN"/>
        </w:rPr>
        <w:t>六</w:t>
      </w:r>
      <w:r>
        <w:rPr>
          <w:rFonts w:hint="eastAsia" w:ascii="仿宋" w:hAnsi="仿宋" w:eastAsia="仿宋"/>
          <w:kern w:val="0"/>
          <w:sz w:val="32"/>
          <w:szCs w:val="32"/>
        </w:rPr>
        <w:t>）社会保障和就业支出（类）退役军人管理事务（款） 其他退役军人事务管理支出（项）：反映除上述项目以外的其他用于退役军人事务管理方面的支出。</w:t>
      </w:r>
    </w:p>
    <w:p w14:paraId="3CD99406">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（十</w:t>
      </w:r>
      <w:r>
        <w:rPr>
          <w:rFonts w:hint="eastAsia" w:ascii="仿宋" w:hAnsi="仿宋" w:eastAsia="仿宋"/>
          <w:kern w:val="0"/>
          <w:sz w:val="32"/>
          <w:szCs w:val="32"/>
          <w:lang w:val="en-US" w:eastAsia="zh-CN"/>
        </w:rPr>
        <w:t>七</w:t>
      </w:r>
      <w:r>
        <w:rPr>
          <w:rFonts w:hint="eastAsia" w:ascii="仿宋" w:hAnsi="仿宋" w:eastAsia="仿宋"/>
          <w:kern w:val="0"/>
          <w:sz w:val="32"/>
          <w:szCs w:val="32"/>
        </w:rPr>
        <w:t>）社会保障和就业支出（类）其他社会保障和就业支出（款）其他社会保障和就业支出（项）：反映其他用于其他社会保障和就业支出方面的支出。</w:t>
      </w:r>
    </w:p>
    <w:p w14:paraId="4B7B0A90">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（十</w:t>
      </w:r>
      <w:r>
        <w:rPr>
          <w:rFonts w:hint="eastAsia" w:ascii="仿宋" w:hAnsi="仿宋" w:eastAsia="仿宋"/>
          <w:kern w:val="0"/>
          <w:sz w:val="32"/>
          <w:szCs w:val="32"/>
          <w:lang w:val="en-US" w:eastAsia="zh-CN"/>
        </w:rPr>
        <w:t>八</w:t>
      </w:r>
      <w:r>
        <w:rPr>
          <w:rFonts w:hint="eastAsia" w:ascii="仿宋" w:hAnsi="仿宋" w:eastAsia="仿宋"/>
          <w:kern w:val="0"/>
          <w:sz w:val="32"/>
          <w:szCs w:val="32"/>
        </w:rPr>
        <w:t>）卫生健康支出（类）行政事业单位医疗（款）行政单位医疗（项）：反映财政部门安排的行政单位（包括实行公务员管理的事业单位）基本医疗保险缴费经费。</w:t>
      </w:r>
    </w:p>
    <w:p w14:paraId="4339C641">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十九</w:t>
      </w:r>
      <w:r>
        <w:rPr>
          <w:rFonts w:hint="eastAsia" w:ascii="仿宋" w:hAnsi="仿宋" w:eastAsia="仿宋"/>
          <w:kern w:val="0"/>
          <w:sz w:val="32"/>
          <w:szCs w:val="32"/>
        </w:rPr>
        <w:t>）卫生健康支出（类）行政事业单位医疗（款）事业单位医疗（项）：反映财政部门安排的事业单位基本医疗保险缴费经费。</w:t>
      </w:r>
    </w:p>
    <w:p w14:paraId="57F0A3CE">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二十</w:t>
      </w:r>
      <w:r>
        <w:rPr>
          <w:rFonts w:hint="eastAsia" w:ascii="仿宋" w:hAnsi="仿宋" w:eastAsia="仿宋"/>
          <w:kern w:val="0"/>
          <w:sz w:val="32"/>
          <w:szCs w:val="32"/>
        </w:rPr>
        <w:t>）卫生健康支出（类）行政事业单位医疗（款）公务员医疗补助（项）：反映财政部门安排的公务员医疗补助经费。</w:t>
      </w:r>
    </w:p>
    <w:p w14:paraId="5F6C86E0">
      <w:pPr>
        <w:widowControl/>
        <w:spacing w:line="580" w:lineRule="exact"/>
        <w:ind w:firstLine="640" w:firstLineChars="200"/>
        <w:jc w:val="left"/>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二十一</w:t>
      </w:r>
      <w:r>
        <w:rPr>
          <w:rFonts w:hint="eastAsia" w:ascii="仿宋" w:hAnsi="仿宋" w:eastAsia="仿宋"/>
          <w:kern w:val="0"/>
          <w:sz w:val="32"/>
          <w:szCs w:val="32"/>
        </w:rPr>
        <w:t>）卫生健康支出（类）行政事业单位医疗（款）其他行政事业单位医疗支出（项）：反映除上述项目以外的其他用于行政事业单位医疗方面的支出。</w:t>
      </w:r>
    </w:p>
    <w:p w14:paraId="6768B149">
      <w:pPr>
        <w:ind w:firstLine="640" w:firstLineChars="200"/>
        <w:rPr>
          <w:rFonts w:hint="eastAsia" w:ascii="仿宋" w:hAnsi="仿宋" w:eastAsia="仿宋"/>
          <w:kern w:val="0"/>
          <w:sz w:val="32"/>
          <w:szCs w:val="32"/>
        </w:rPr>
      </w:pPr>
      <w:r>
        <w:rPr>
          <w:rFonts w:hint="eastAsia" w:ascii="仿宋" w:hAnsi="仿宋" w:eastAsia="仿宋"/>
          <w:kern w:val="0"/>
          <w:sz w:val="32"/>
          <w:szCs w:val="32"/>
        </w:rPr>
        <w:t>（</w:t>
      </w:r>
      <w:r>
        <w:rPr>
          <w:rFonts w:hint="eastAsia" w:ascii="仿宋" w:hAnsi="仿宋" w:eastAsia="仿宋"/>
          <w:kern w:val="0"/>
          <w:sz w:val="32"/>
          <w:szCs w:val="32"/>
          <w:lang w:val="en-US" w:eastAsia="zh-CN"/>
        </w:rPr>
        <w:t>二十二</w:t>
      </w:r>
      <w:r>
        <w:rPr>
          <w:rFonts w:hint="eastAsia" w:ascii="仿宋" w:hAnsi="仿宋" w:eastAsia="仿宋"/>
          <w:kern w:val="0"/>
          <w:sz w:val="32"/>
          <w:szCs w:val="32"/>
        </w:rPr>
        <w:t xml:space="preserve">）住房保障支出（类） 住房改革支出（款）住房公积金（项）：住房公积金的支出。 </w:t>
      </w:r>
    </w:p>
    <w:p w14:paraId="32F490E1">
      <w:pPr>
        <w:pStyle w:val="2"/>
        <w:rPr>
          <w:rFonts w:hint="eastAsia" w:ascii="仿宋" w:hAnsi="仿宋" w:eastAsia="仿宋"/>
          <w:kern w:val="0"/>
          <w:sz w:val="30"/>
          <w:szCs w:val="30"/>
        </w:rPr>
      </w:pPr>
    </w:p>
    <w:p w14:paraId="45FED5B5">
      <w:pPr>
        <w:pStyle w:val="2"/>
        <w:rPr>
          <w:rFonts w:hint="eastAsia" w:ascii="仿宋" w:hAnsi="仿宋" w:eastAsia="仿宋"/>
          <w:kern w:val="0"/>
          <w:sz w:val="30"/>
          <w:szCs w:val="30"/>
        </w:rPr>
      </w:pPr>
    </w:p>
    <w:p w14:paraId="5A84CD13">
      <w:pPr>
        <w:pStyle w:val="2"/>
        <w:rPr>
          <w:rFonts w:hint="eastAsia" w:ascii="仿宋" w:hAnsi="仿宋" w:eastAsia="仿宋"/>
          <w:kern w:val="0"/>
          <w:sz w:val="30"/>
          <w:szCs w:val="30"/>
        </w:rPr>
      </w:pPr>
    </w:p>
    <w:p w14:paraId="781A9F43">
      <w:pPr>
        <w:pStyle w:val="2"/>
        <w:rPr>
          <w:rFonts w:hint="eastAsia" w:ascii="仿宋" w:hAnsi="仿宋" w:eastAsia="仿宋"/>
          <w:kern w:val="0"/>
          <w:sz w:val="30"/>
          <w:szCs w:val="30"/>
        </w:rPr>
      </w:pPr>
    </w:p>
    <w:p w14:paraId="44E80A43">
      <w:pPr>
        <w:pStyle w:val="2"/>
        <w:jc w:val="right"/>
        <w:rPr>
          <w:rFonts w:hint="default" w:ascii="仿宋" w:hAnsi="仿宋" w:eastAsia="仿宋"/>
          <w:kern w:val="0"/>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8790A7"/>
    <w:multiLevelType w:val="singleLevel"/>
    <w:tmpl w:val="508790A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1OWFjNGFmMDFjYjY3OTU5YTc5MGYxZmU2Y2M4ZTQifQ=="/>
  </w:docVars>
  <w:rsids>
    <w:rsidRoot w:val="00000000"/>
    <w:rsid w:val="03411FB9"/>
    <w:rsid w:val="04014450"/>
    <w:rsid w:val="0ABE2142"/>
    <w:rsid w:val="0E7B0089"/>
    <w:rsid w:val="0F1B0B98"/>
    <w:rsid w:val="0FDE12D6"/>
    <w:rsid w:val="13244A24"/>
    <w:rsid w:val="1B0A5729"/>
    <w:rsid w:val="1D9D1F43"/>
    <w:rsid w:val="20C50274"/>
    <w:rsid w:val="20F628BA"/>
    <w:rsid w:val="262C5BFB"/>
    <w:rsid w:val="2F8135BA"/>
    <w:rsid w:val="304E6AE2"/>
    <w:rsid w:val="32171FB4"/>
    <w:rsid w:val="352A495A"/>
    <w:rsid w:val="353C06AF"/>
    <w:rsid w:val="3793334B"/>
    <w:rsid w:val="37FC07D4"/>
    <w:rsid w:val="380A3C85"/>
    <w:rsid w:val="3C160F53"/>
    <w:rsid w:val="4162324B"/>
    <w:rsid w:val="42731B53"/>
    <w:rsid w:val="42E90224"/>
    <w:rsid w:val="456E2A1D"/>
    <w:rsid w:val="4D2216F0"/>
    <w:rsid w:val="4E790AD2"/>
    <w:rsid w:val="511C3F63"/>
    <w:rsid w:val="526037D7"/>
    <w:rsid w:val="52A661D2"/>
    <w:rsid w:val="54E51D72"/>
    <w:rsid w:val="56E66A37"/>
    <w:rsid w:val="59EA7E2A"/>
    <w:rsid w:val="5AAE76C8"/>
    <w:rsid w:val="5C4153A9"/>
    <w:rsid w:val="5CEE19DF"/>
    <w:rsid w:val="5D2651CC"/>
    <w:rsid w:val="5DB8630B"/>
    <w:rsid w:val="5F1E5097"/>
    <w:rsid w:val="5FA00C00"/>
    <w:rsid w:val="62115B72"/>
    <w:rsid w:val="64CB4744"/>
    <w:rsid w:val="684E13C1"/>
    <w:rsid w:val="690D7691"/>
    <w:rsid w:val="6C2C0B68"/>
    <w:rsid w:val="6CBB587C"/>
    <w:rsid w:val="6D06067F"/>
    <w:rsid w:val="6F4A0071"/>
    <w:rsid w:val="6F5D3BBE"/>
    <w:rsid w:val="73397534"/>
    <w:rsid w:val="74F33BDF"/>
    <w:rsid w:val="7C946478"/>
    <w:rsid w:val="7CFE72C6"/>
    <w:rsid w:val="7F1A7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纯文本1"/>
    <w:basedOn w:val="1"/>
    <w:qFormat/>
    <w:uiPriority w:val="0"/>
    <w:rPr>
      <w:rFonts w:ascii="宋体" w:hAnsi="Courier New" w:cs="Courier New"/>
      <w:szCs w:val="21"/>
    </w:rPr>
  </w:style>
  <w:style w:type="paragraph" w:styleId="3">
    <w:name w:val="Plain Text"/>
    <w:basedOn w:val="1"/>
    <w:qFormat/>
    <w:uiPriority w:val="0"/>
    <w:rPr>
      <w:rFonts w:ascii="宋体" w:hAnsi="Courier New"/>
    </w:rPr>
  </w:style>
  <w:style w:type="paragraph" w:customStyle="1" w:styleId="6">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1388</Words>
  <Characters>1402</Characters>
  <Lines>0</Lines>
  <Paragraphs>0</Paragraphs>
  <TotalTime>11</TotalTime>
  <ScaleCrop>false</ScaleCrop>
  <LinksUpToDate>false</LinksUpToDate>
  <CharactersWithSpaces>1436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2020-09-25T01:41:00Z</dcterms:created>
  <dc:creator>DELL</dc:creator>
  <cp:lastModifiedBy>君君</cp:lastModifiedBy>
  <dcterms:modified xsi:type="dcterms:W3CDTF">2026-07-03T07:24:47Z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545972F41B8049C1882F9009248C7305_13</vt:lpwstr>
  </property>
  <property fmtid="{D5CDD505-2E9C-101B-9397-08002B2CF9AE}" pid="4" name="KSOTemplateDocerSaveRecord">
    <vt:lpwstr>eyJoZGlkIjoiZWE1OWFjNGFmMDFjYjY3OTU5YTc5MGYxZmU2Y2M4ZTQiLCJ1c2VySWQiOiI4MTM1MTQ3MzIifQ==</vt:lpwstr>
  </property>
</Properties>
</file>