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C2A7F">
      <w:pPr>
        <w:keepNext w:val="0"/>
        <w:keepLines w:val="0"/>
        <w:pageBreakBefore w:val="0"/>
        <w:kinsoku/>
        <w:wordWrap/>
        <w:overflowPunct/>
        <w:topLinePunct w:val="0"/>
        <w:autoSpaceDE/>
        <w:autoSpaceDN/>
        <w:bidi w:val="0"/>
        <w:adjustRightInd/>
        <w:snapToGrid/>
        <w:spacing w:line="600" w:lineRule="exact"/>
        <w:textAlignment w:val="auto"/>
        <w:rPr>
          <w:rFonts w:hint="eastAsia" w:ascii="楷体" w:hAnsi="楷体" w:eastAsia="楷体" w:cs="楷体"/>
          <w:color w:val="auto"/>
          <w:sz w:val="30"/>
          <w:szCs w:val="30"/>
          <w:lang w:val="en-US" w:eastAsia="zh-CN"/>
        </w:rPr>
      </w:pPr>
    </w:p>
    <w:p w14:paraId="14914554">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景德镇市退役军人事务局</w:t>
      </w:r>
    </w:p>
    <w:p w14:paraId="26B5012C">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2022年度部门决算</w:t>
      </w:r>
    </w:p>
    <w:p w14:paraId="7B2CF80B">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黑体" w:eastAsia="黑体"/>
          <w:color w:val="auto"/>
          <w:sz w:val="44"/>
          <w:szCs w:val="36"/>
          <w:lang w:eastAsia="zh-CN"/>
        </w:rPr>
      </w:pPr>
    </w:p>
    <w:p w14:paraId="45B0A365">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bCs/>
          <w:color w:val="auto"/>
          <w:sz w:val="40"/>
          <w:szCs w:val="36"/>
        </w:rPr>
      </w:pPr>
      <w:r>
        <w:rPr>
          <w:rFonts w:hint="eastAsia" w:ascii="黑体" w:hAnsi="黑体" w:eastAsia="黑体" w:cs="黑体"/>
          <w:b/>
          <w:bCs/>
          <w:color w:val="auto"/>
          <w:sz w:val="40"/>
          <w:szCs w:val="36"/>
        </w:rPr>
        <w:t>目    录</w:t>
      </w:r>
    </w:p>
    <w:p w14:paraId="3C6CCB02">
      <w:pPr>
        <w:keepNext w:val="0"/>
        <w:keepLines w:val="0"/>
        <w:pageBreakBefore w:val="0"/>
        <w:widowControl/>
        <w:kinsoku/>
        <w:wordWrap/>
        <w:overflowPunct/>
        <w:topLinePunct w:val="0"/>
        <w:autoSpaceDE/>
        <w:autoSpaceDN/>
        <w:bidi w:val="0"/>
        <w:adjustRightInd/>
        <w:snapToGrid/>
        <w:spacing w:line="600" w:lineRule="exact"/>
        <w:ind w:firstLine="640"/>
        <w:jc w:val="both"/>
        <w:textAlignment w:val="auto"/>
        <w:rPr>
          <w:rFonts w:hint="eastAsia" w:ascii="仿宋_GB2312" w:eastAsia="仿宋_GB2312"/>
          <w:color w:val="auto"/>
          <w:sz w:val="32"/>
          <w:szCs w:val="30"/>
        </w:rPr>
      </w:pPr>
    </w:p>
    <w:p w14:paraId="5913294B">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eastAsia" w:ascii="黑体" w:hAnsi="黑体" w:eastAsia="黑体"/>
          <w:b w:val="0"/>
          <w:bCs/>
          <w:color w:val="auto"/>
          <w:sz w:val="32"/>
          <w:szCs w:val="32"/>
        </w:rPr>
      </w:pPr>
      <w:r>
        <w:rPr>
          <w:rFonts w:hint="eastAsia" w:ascii="黑体" w:hAnsi="黑体" w:eastAsia="黑体"/>
          <w:b w:val="0"/>
          <w:bCs/>
          <w:color w:val="auto"/>
          <w:sz w:val="32"/>
          <w:szCs w:val="32"/>
        </w:rPr>
        <w:t xml:space="preserve">第一部分  </w:t>
      </w:r>
      <w:r>
        <w:rPr>
          <w:rFonts w:hint="eastAsia" w:ascii="黑体" w:hAnsi="黑体" w:eastAsia="黑体"/>
          <w:b w:val="0"/>
          <w:bCs/>
          <w:color w:val="auto"/>
          <w:sz w:val="32"/>
          <w:szCs w:val="32"/>
          <w:lang w:val="en-US" w:eastAsia="zh-CN"/>
        </w:rPr>
        <w:t>景德镇市退役军人事务局</w:t>
      </w:r>
      <w:r>
        <w:rPr>
          <w:rFonts w:hint="eastAsia" w:ascii="黑体" w:hAnsi="黑体" w:eastAsia="黑体"/>
          <w:b w:val="0"/>
          <w:bCs/>
          <w:color w:val="auto"/>
          <w:sz w:val="32"/>
          <w:szCs w:val="32"/>
        </w:rPr>
        <w:t>概况</w:t>
      </w:r>
    </w:p>
    <w:p w14:paraId="3C66FE55">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一、部门主要职责</w:t>
      </w:r>
    </w:p>
    <w:p w14:paraId="1F2D4C42">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二、部门基本情况</w:t>
      </w:r>
    </w:p>
    <w:p w14:paraId="2D9F665B">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第二部分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年度部门决算表</w:t>
      </w:r>
    </w:p>
    <w:p w14:paraId="3F8F6244">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一、收入支出决算总表</w:t>
      </w:r>
    </w:p>
    <w:p w14:paraId="3EBC23BE">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二、收入决算表</w:t>
      </w:r>
    </w:p>
    <w:p w14:paraId="2BA01EB7">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三、支出决算表</w:t>
      </w:r>
    </w:p>
    <w:p w14:paraId="1DED056D">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四、财政拨款收入支出决算总表</w:t>
      </w:r>
    </w:p>
    <w:p w14:paraId="50387921">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五、一般公共预算财政拨款支出决算表</w:t>
      </w:r>
    </w:p>
    <w:p w14:paraId="3C5CA8F2">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六、一般公共预算财政拨款基本支出决算表</w:t>
      </w:r>
    </w:p>
    <w:p w14:paraId="2B7342CB">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七、</w:t>
      </w:r>
      <w:r>
        <w:rPr>
          <w:rFonts w:hint="eastAsia" w:ascii="仿宋_GB2312" w:hAnsi="仿宋_GB2312" w:eastAsia="仿宋_GB2312" w:cs="宋体"/>
          <w:color w:val="auto"/>
          <w:kern w:val="0"/>
          <w:sz w:val="32"/>
          <w:szCs w:val="32"/>
        </w:rPr>
        <w:t>政府性基金预算财政拨款收入支出决算表</w:t>
      </w:r>
    </w:p>
    <w:p w14:paraId="2CEDD61B">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八、国有资本经营预算财政拨款支出决算表</w:t>
      </w:r>
    </w:p>
    <w:p w14:paraId="5F8475E9">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九、</w:t>
      </w:r>
      <w:r>
        <w:rPr>
          <w:rFonts w:hint="eastAsia" w:ascii="仿宋_GB2312" w:hAnsi="仿宋_GB2312" w:eastAsia="仿宋_GB2312" w:cs="宋体"/>
          <w:color w:val="auto"/>
          <w:kern w:val="0"/>
          <w:sz w:val="32"/>
          <w:szCs w:val="32"/>
        </w:rPr>
        <w:t>财政拨款“三公”经费支出决算表</w:t>
      </w:r>
    </w:p>
    <w:p w14:paraId="7D9A48FE">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十</w:t>
      </w:r>
      <w:r>
        <w:rPr>
          <w:rFonts w:hint="eastAsia" w:ascii="仿宋_GB2312" w:hAnsi="仿宋_GB2312" w:eastAsia="仿宋_GB2312" w:cs="宋体"/>
          <w:color w:val="auto"/>
          <w:kern w:val="0"/>
          <w:sz w:val="32"/>
          <w:szCs w:val="32"/>
        </w:rPr>
        <w:t>、国有资产占用情况表</w:t>
      </w:r>
    </w:p>
    <w:p w14:paraId="6CA4BD17">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422930F1">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48F708DC">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45CBB718">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第三部分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年度部门决算情况说明</w:t>
      </w:r>
    </w:p>
    <w:p w14:paraId="2ECB54CE">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一、收入决算情况说明</w:t>
      </w:r>
    </w:p>
    <w:p w14:paraId="4EBE4176">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二、支出决算情况说明</w:t>
      </w:r>
    </w:p>
    <w:p w14:paraId="4373471A">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三、财政拨款支出决算情况说明</w:t>
      </w:r>
    </w:p>
    <w:p w14:paraId="70C286C7">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四、一般公共预算财政拨款基本支出决算情况说明</w:t>
      </w:r>
    </w:p>
    <w:p w14:paraId="557B6E01">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五、财政拨款“三公”经费支出决算情况说明</w:t>
      </w:r>
    </w:p>
    <w:p w14:paraId="1109E0C6">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六、机关运行经费支出情况说明</w:t>
      </w:r>
    </w:p>
    <w:p w14:paraId="59FA3219">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七、政府采购支出情况说明</w:t>
      </w:r>
    </w:p>
    <w:p w14:paraId="6ADB6708">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八、国有资产占用情况说明</w:t>
      </w:r>
    </w:p>
    <w:p w14:paraId="14199A78">
      <w:pPr>
        <w:keepNext w:val="0"/>
        <w:keepLines w:val="0"/>
        <w:pageBreakBefore w:val="0"/>
        <w:widowControl/>
        <w:kinsoku/>
        <w:wordWrap/>
        <w:overflowPunct/>
        <w:topLinePunct w:val="0"/>
        <w:autoSpaceDE/>
        <w:autoSpaceDN/>
        <w:bidi w:val="0"/>
        <w:adjustRightInd/>
        <w:snapToGrid/>
        <w:spacing w:line="600" w:lineRule="exact"/>
        <w:ind w:left="0" w:firstLine="1280" w:firstLineChars="400"/>
        <w:jc w:val="both"/>
        <w:textAlignment w:val="auto"/>
        <w:rPr>
          <w:rFonts w:hint="eastAsia" w:ascii="仿宋_GB2312" w:hAnsi="仿宋_GB2312" w:eastAsia="仿宋_GB2312"/>
          <w:color w:val="auto"/>
          <w:sz w:val="32"/>
          <w:szCs w:val="30"/>
        </w:rPr>
      </w:pPr>
      <w:r>
        <w:rPr>
          <w:rFonts w:hint="eastAsia" w:ascii="仿宋_GB2312" w:hAnsi="仿宋_GB2312" w:eastAsia="仿宋_GB2312"/>
          <w:color w:val="auto"/>
          <w:sz w:val="32"/>
          <w:szCs w:val="30"/>
        </w:rPr>
        <w:t>九、预算绩效情况说明</w:t>
      </w:r>
    </w:p>
    <w:p w14:paraId="3B4C455E">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第四部分  名词解释</w:t>
      </w:r>
    </w:p>
    <w:p w14:paraId="2A9638FC">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both"/>
        <w:textAlignment w:val="auto"/>
        <w:rPr>
          <w:rFonts w:hint="default" w:ascii="黑体" w:hAnsi="黑体" w:eastAsia="黑体"/>
          <w:color w:val="auto"/>
          <w:sz w:val="32"/>
          <w:szCs w:val="32"/>
          <w:lang w:val="en-US" w:eastAsia="zh-CN"/>
        </w:rPr>
      </w:pPr>
      <w:r>
        <w:rPr>
          <w:rFonts w:hint="eastAsia" w:ascii="黑体" w:hAnsi="黑体" w:eastAsia="黑体"/>
          <w:color w:val="auto"/>
          <w:sz w:val="32"/>
          <w:szCs w:val="32"/>
          <w:lang w:val="en-US" w:eastAsia="zh-CN"/>
        </w:rPr>
        <w:t>第五部分  附件</w:t>
      </w:r>
    </w:p>
    <w:p w14:paraId="11D53CAD">
      <w:pPr>
        <w:widowControl/>
        <w:spacing w:line="580" w:lineRule="exact"/>
        <w:jc w:val="center"/>
        <w:rPr>
          <w:rFonts w:hint="eastAsia" w:ascii="宋体" w:hAnsi="宋体"/>
          <w:b/>
          <w:sz w:val="32"/>
          <w:szCs w:val="30"/>
        </w:rPr>
      </w:pPr>
    </w:p>
    <w:p w14:paraId="4BFA48D2">
      <w:pPr>
        <w:widowControl/>
        <w:spacing w:line="580" w:lineRule="exact"/>
        <w:jc w:val="center"/>
        <w:rPr>
          <w:rFonts w:hint="eastAsia" w:ascii="宋体" w:hAnsi="宋体"/>
          <w:b/>
          <w:sz w:val="32"/>
          <w:szCs w:val="30"/>
        </w:rPr>
      </w:pPr>
    </w:p>
    <w:p w14:paraId="1D4F0457">
      <w:pPr>
        <w:widowControl/>
        <w:spacing w:line="580" w:lineRule="exact"/>
        <w:jc w:val="center"/>
        <w:rPr>
          <w:rFonts w:hint="eastAsia" w:ascii="宋体" w:hAnsi="宋体"/>
          <w:b/>
          <w:sz w:val="32"/>
          <w:szCs w:val="30"/>
        </w:rPr>
      </w:pPr>
    </w:p>
    <w:p w14:paraId="669BEC32">
      <w:pPr>
        <w:widowControl/>
        <w:spacing w:line="580" w:lineRule="exact"/>
        <w:jc w:val="center"/>
        <w:rPr>
          <w:rFonts w:hint="eastAsia" w:ascii="宋体" w:hAnsi="宋体"/>
          <w:b/>
          <w:sz w:val="32"/>
          <w:szCs w:val="30"/>
        </w:rPr>
      </w:pPr>
    </w:p>
    <w:p w14:paraId="5C8AC456">
      <w:pPr>
        <w:widowControl/>
        <w:spacing w:line="580" w:lineRule="exact"/>
        <w:jc w:val="center"/>
        <w:rPr>
          <w:rFonts w:hint="eastAsia" w:ascii="宋体" w:hAnsi="宋体"/>
          <w:b/>
          <w:sz w:val="32"/>
          <w:szCs w:val="30"/>
        </w:rPr>
      </w:pPr>
    </w:p>
    <w:p w14:paraId="75DD6A25">
      <w:pPr>
        <w:widowControl/>
        <w:spacing w:line="580" w:lineRule="exact"/>
        <w:jc w:val="center"/>
        <w:rPr>
          <w:rFonts w:hint="eastAsia" w:ascii="宋体" w:hAnsi="宋体"/>
          <w:b/>
          <w:sz w:val="32"/>
          <w:szCs w:val="30"/>
        </w:rPr>
      </w:pPr>
    </w:p>
    <w:p w14:paraId="247E5CEA">
      <w:pPr>
        <w:widowControl/>
        <w:spacing w:line="580" w:lineRule="exact"/>
        <w:jc w:val="center"/>
        <w:rPr>
          <w:rFonts w:hint="eastAsia" w:ascii="宋体" w:hAnsi="宋体"/>
          <w:b/>
          <w:sz w:val="32"/>
          <w:szCs w:val="30"/>
        </w:rPr>
      </w:pPr>
    </w:p>
    <w:p w14:paraId="028CE05A">
      <w:pPr>
        <w:widowControl/>
        <w:spacing w:line="580" w:lineRule="exact"/>
        <w:jc w:val="center"/>
        <w:rPr>
          <w:rFonts w:hint="eastAsia" w:ascii="宋体" w:hAnsi="宋体"/>
          <w:b/>
          <w:sz w:val="32"/>
          <w:szCs w:val="30"/>
        </w:rPr>
      </w:pPr>
    </w:p>
    <w:p w14:paraId="572897A9">
      <w:pPr>
        <w:widowControl/>
        <w:spacing w:line="580" w:lineRule="exact"/>
        <w:jc w:val="center"/>
        <w:rPr>
          <w:rFonts w:hint="eastAsia" w:ascii="宋体" w:hAnsi="宋体"/>
          <w:b/>
          <w:sz w:val="32"/>
          <w:szCs w:val="30"/>
        </w:rPr>
      </w:pPr>
    </w:p>
    <w:p w14:paraId="0097DCC2">
      <w:pPr>
        <w:widowControl/>
        <w:spacing w:line="580" w:lineRule="exact"/>
        <w:jc w:val="both"/>
        <w:rPr>
          <w:rFonts w:hint="eastAsia" w:ascii="宋体" w:hAnsi="宋体"/>
          <w:b/>
          <w:sz w:val="32"/>
          <w:szCs w:val="30"/>
        </w:rPr>
      </w:pPr>
    </w:p>
    <w:p w14:paraId="1A09FBF4">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59CC8598">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10FFED9A">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第一部分  景德镇市退役军人事务局概况</w:t>
      </w:r>
    </w:p>
    <w:p w14:paraId="1E0E1A38">
      <w:pPr>
        <w:ind w:firstLine="630"/>
        <w:jc w:val="center"/>
        <w:rPr>
          <w:rFonts w:hint="eastAsia"/>
          <w:sz w:val="32"/>
          <w:szCs w:val="32"/>
        </w:rPr>
      </w:pPr>
    </w:p>
    <w:p w14:paraId="30A58A9B">
      <w:pPr>
        <w:ind w:firstLine="630"/>
        <w:jc w:val="left"/>
        <w:rPr>
          <w:rFonts w:hint="eastAsia" w:ascii="黑体" w:hAnsi="黑体" w:eastAsia="黑体"/>
          <w:sz w:val="32"/>
          <w:szCs w:val="32"/>
        </w:rPr>
      </w:pPr>
      <w:r>
        <w:rPr>
          <w:rFonts w:hint="eastAsia" w:ascii="黑体" w:hAnsi="黑体" w:eastAsia="黑体"/>
          <w:sz w:val="32"/>
          <w:szCs w:val="32"/>
        </w:rPr>
        <w:t>一、部门主要职能</w:t>
      </w:r>
    </w:p>
    <w:p w14:paraId="5EB84DDB">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景德镇市退役军人事务局是市政府工作部门，主要职责是：</w:t>
      </w:r>
    </w:p>
    <w:p w14:paraId="7B43E4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(一)拟订全市退役军人思想政治、管理保障和安置优抚等工作地方性法规规章和政策并组织实施，褒扬彰显退役军人为党、国家和人民牺牲奉献的精神风范和价值导向。</w:t>
      </w:r>
    </w:p>
    <w:p w14:paraId="5E2018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(二)负责全市军队转业干部、复员干部、离休退休干部、退役士兵和无军籍退休退职职工的移交安置工作和自主择业、就业退役军人服务管理等有关工作。</w:t>
      </w:r>
    </w:p>
    <w:p w14:paraId="6A457D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(三)组织指导全市退役军人教育培训工作，协调扶持退役军人和随军随调家属就业创业。                     </w:t>
      </w:r>
    </w:p>
    <w:p w14:paraId="0EE7E19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(四)会同有关部门拟定全市退役军人特殊保障政策并组织落实。</w:t>
      </w:r>
    </w:p>
    <w:p w14:paraId="1E305F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(五)组织协调落实军队移交我市符合条件的离休退休干部住房补贴和无军籍退休退职职工住房维修、房租补贴发放等服务保障工作，以及退役军人医疗保障、社会保险等待遇保障工作。</w:t>
      </w:r>
    </w:p>
    <w:p w14:paraId="34C1DDCF">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14:paraId="73F60C06">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(七)组织指导全市拥军优属工作。负责现役军人、退役军人、军队文职人员和军属优待、抚恤等工作，落实国民党抗战老兵等有关人员优待政策。</w:t>
      </w:r>
    </w:p>
    <w:p w14:paraId="51E9AB20">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八)负责烈士及退役军人荣誉奖励、军人公墓管理维护、纪念活动等工作，依法承担英雄烈士保护相关工作，审核拟列入市级烈士纪念设施名录，按规定总结表彰和宣扬退役军人、退役军人工作单位和个人先进典型事迹。</w:t>
      </w:r>
    </w:p>
    <w:p w14:paraId="7FB7D273">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(九)指导并监督检查退役军人相关法律法规和政策措施的落实，组织开展退役军人权益维护和有关人员的帮扶援助工作。指导督促所属单位进行安全管理。</w:t>
      </w:r>
    </w:p>
    <w:p w14:paraId="0387F31C">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(十)在征求市委组织、机构编制等部门意见基础上，牵头提出全市计划分配军队转业干部、符合条件的退役士兵的安置计划。</w:t>
      </w:r>
    </w:p>
    <w:p w14:paraId="4181EC25">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(十一)完成市委、市政府交办的其他任务。</w:t>
      </w:r>
    </w:p>
    <w:p w14:paraId="63134F69">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sz w:val="32"/>
          <w:szCs w:val="32"/>
        </w:rPr>
      </w:pPr>
      <w:r>
        <w:rPr>
          <w:rFonts w:hint="eastAsia" w:ascii="仿宋" w:hAnsi="仿宋" w:eastAsia="仿宋" w:cs="仿宋"/>
          <w:b w:val="0"/>
          <w:bCs w:val="0"/>
          <w:sz w:val="32"/>
          <w:szCs w:val="32"/>
          <w:lang w:val="en-US" w:eastAsia="zh-CN"/>
        </w:rPr>
        <w:t>(十二)职能转变。市退役军人事务局应加强全市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27008BBE">
      <w:pPr>
        <w:ind w:firstLine="630"/>
        <w:jc w:val="left"/>
        <w:rPr>
          <w:rFonts w:hint="eastAsia" w:ascii="黑体" w:hAnsi="黑体" w:eastAsia="黑体"/>
          <w:sz w:val="32"/>
          <w:szCs w:val="32"/>
        </w:rPr>
      </w:pPr>
      <w:r>
        <w:rPr>
          <w:rFonts w:hint="eastAsia" w:ascii="黑体" w:hAnsi="黑体" w:eastAsia="黑体"/>
          <w:sz w:val="32"/>
          <w:szCs w:val="32"/>
        </w:rPr>
        <w:t>二、部门基本情况</w:t>
      </w:r>
    </w:p>
    <w:p w14:paraId="2B0BA19C">
      <w:pPr>
        <w:ind w:firstLine="630"/>
        <w:jc w:val="left"/>
        <w:rPr>
          <w:rFonts w:hint="eastAsia" w:ascii="仿宋" w:hAnsi="仿宋" w:eastAsia="仿宋"/>
          <w:sz w:val="32"/>
          <w:szCs w:val="32"/>
          <w:lang w:val="en-US" w:eastAsia="zh-CN"/>
        </w:rPr>
      </w:pPr>
      <w:r>
        <w:rPr>
          <w:rFonts w:hint="eastAsia" w:ascii="仿宋" w:hAnsi="仿宋" w:eastAsia="仿宋"/>
          <w:sz w:val="32"/>
          <w:szCs w:val="32"/>
        </w:rPr>
        <w:t>纳入本套部门决算汇编范围的单位</w:t>
      </w:r>
      <w:r>
        <w:rPr>
          <w:rFonts w:hint="eastAsia" w:ascii="仿宋" w:hAnsi="仿宋" w:eastAsia="仿宋"/>
          <w:sz w:val="32"/>
          <w:szCs w:val="32"/>
          <w:lang w:val="en-US" w:eastAsia="zh-CN"/>
        </w:rPr>
        <w:t>共4</w:t>
      </w:r>
      <w:r>
        <w:rPr>
          <w:rFonts w:hint="eastAsia" w:ascii="仿宋" w:hAnsi="仿宋" w:eastAsia="仿宋"/>
          <w:sz w:val="32"/>
          <w:szCs w:val="32"/>
        </w:rPr>
        <w:t>个，</w:t>
      </w:r>
      <w:r>
        <w:rPr>
          <w:rFonts w:hint="eastAsia" w:ascii="仿宋" w:hAnsi="仿宋" w:eastAsia="仿宋"/>
          <w:sz w:val="32"/>
          <w:szCs w:val="32"/>
          <w:lang w:val="en-US" w:eastAsia="zh-CN"/>
        </w:rPr>
        <w:t>包括：景德镇市退役军人事务局本级、景德镇市退役军人服务中心、景德镇军供站、景德镇市军队离休退休干部休养所。</w:t>
      </w:r>
    </w:p>
    <w:p w14:paraId="099442E5">
      <w:pPr>
        <w:ind w:firstLine="630"/>
        <w:jc w:val="left"/>
        <w:rPr>
          <w:rFonts w:hint="eastAsia" w:ascii="仿宋_GB2312" w:hAnsi="仿宋_GB2312" w:eastAsia="仿宋_GB2312"/>
          <w:color w:val="auto"/>
          <w:sz w:val="32"/>
          <w:szCs w:val="32"/>
          <w:lang w:eastAsia="zh-CN"/>
        </w:rPr>
      </w:pPr>
      <w:r>
        <w:rPr>
          <w:rFonts w:hint="eastAsia" w:ascii="仿宋" w:hAnsi="仿宋" w:eastAsia="仿宋"/>
          <w:sz w:val="32"/>
          <w:szCs w:val="32"/>
        </w:rPr>
        <w:t>本部门</w:t>
      </w:r>
      <w:r>
        <w:rPr>
          <w:rFonts w:hint="eastAsia" w:ascii="仿宋" w:hAnsi="仿宋" w:eastAsia="仿宋"/>
          <w:sz w:val="32"/>
          <w:szCs w:val="32"/>
          <w:lang w:val="en-US" w:eastAsia="zh-CN"/>
        </w:rPr>
        <w:t>2022</w:t>
      </w:r>
      <w:r>
        <w:rPr>
          <w:rFonts w:hint="eastAsia" w:ascii="仿宋" w:hAnsi="仿宋" w:eastAsia="仿宋"/>
          <w:sz w:val="32"/>
          <w:szCs w:val="32"/>
        </w:rPr>
        <w:t>年年末实有人数</w:t>
      </w:r>
      <w:r>
        <w:rPr>
          <w:rFonts w:hint="eastAsia" w:ascii="仿宋" w:hAnsi="仿宋" w:eastAsia="仿宋"/>
          <w:sz w:val="32"/>
          <w:szCs w:val="32"/>
          <w:lang w:val="en-US" w:eastAsia="zh-CN"/>
        </w:rPr>
        <w:t>91</w:t>
      </w:r>
      <w:r>
        <w:rPr>
          <w:rFonts w:hint="eastAsia" w:ascii="仿宋" w:hAnsi="仿宋" w:eastAsia="仿宋"/>
          <w:sz w:val="32"/>
          <w:szCs w:val="32"/>
        </w:rPr>
        <w:t>人，其中在职人员</w:t>
      </w:r>
      <w:r>
        <w:rPr>
          <w:rFonts w:hint="eastAsia" w:ascii="仿宋" w:hAnsi="仿宋" w:eastAsia="仿宋"/>
          <w:sz w:val="32"/>
          <w:szCs w:val="32"/>
          <w:lang w:val="en-US" w:eastAsia="zh-CN"/>
        </w:rPr>
        <w:t>62</w:t>
      </w:r>
      <w:r>
        <w:rPr>
          <w:rFonts w:hint="eastAsia" w:ascii="仿宋" w:hAnsi="仿宋" w:eastAsia="仿宋"/>
          <w:sz w:val="32"/>
          <w:szCs w:val="32"/>
        </w:rPr>
        <w:t>人，离休人员</w:t>
      </w:r>
      <w:r>
        <w:rPr>
          <w:rFonts w:hint="eastAsia" w:ascii="仿宋" w:hAnsi="仿宋" w:eastAsia="仿宋"/>
          <w:sz w:val="32"/>
          <w:szCs w:val="32"/>
          <w:lang w:val="en-US" w:eastAsia="zh-CN"/>
        </w:rPr>
        <w:t>6</w:t>
      </w:r>
      <w:r>
        <w:rPr>
          <w:rFonts w:hint="eastAsia" w:ascii="仿宋" w:hAnsi="仿宋" w:eastAsia="仿宋"/>
          <w:sz w:val="32"/>
          <w:szCs w:val="32"/>
        </w:rPr>
        <w:t>人，退休人员</w:t>
      </w:r>
      <w:r>
        <w:rPr>
          <w:rFonts w:hint="eastAsia" w:ascii="仿宋" w:hAnsi="仿宋" w:eastAsia="仿宋"/>
          <w:sz w:val="32"/>
          <w:szCs w:val="32"/>
          <w:lang w:val="en-US" w:eastAsia="zh-CN"/>
        </w:rPr>
        <w:t>23</w:t>
      </w:r>
      <w:r>
        <w:rPr>
          <w:rFonts w:hint="eastAsia" w:ascii="仿宋" w:hAnsi="仿宋" w:eastAsia="仿宋"/>
          <w:sz w:val="32"/>
          <w:szCs w:val="32"/>
        </w:rPr>
        <w:t>人</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不含</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eastAsia="zh-CN"/>
        </w:rPr>
        <w:t>）</w:t>
      </w:r>
      <w:r>
        <w:rPr>
          <w:rFonts w:hint="eastAsia" w:ascii="仿宋" w:hAnsi="仿宋" w:eastAsia="仿宋"/>
          <w:sz w:val="32"/>
          <w:szCs w:val="32"/>
        </w:rPr>
        <w:t>；</w:t>
      </w:r>
      <w:r>
        <w:rPr>
          <w:rFonts w:hint="eastAsia" w:ascii="仿宋" w:hAnsi="仿宋" w:eastAsia="仿宋"/>
          <w:sz w:val="32"/>
          <w:szCs w:val="32"/>
          <w:lang w:val="en-US" w:eastAsia="zh-CN"/>
        </w:rPr>
        <w:t>年</w:t>
      </w:r>
      <w:r>
        <w:rPr>
          <w:rFonts w:hint="eastAsia" w:ascii="仿宋" w:hAnsi="仿宋" w:eastAsia="仿宋"/>
          <w:sz w:val="32"/>
          <w:szCs w:val="32"/>
        </w:rPr>
        <w:t>末其他人员</w:t>
      </w:r>
      <w:r>
        <w:rPr>
          <w:rFonts w:hint="eastAsia" w:ascii="仿宋" w:hAnsi="仿宋" w:eastAsia="仿宋"/>
          <w:sz w:val="32"/>
          <w:szCs w:val="32"/>
          <w:lang w:val="en-US" w:eastAsia="zh-CN"/>
        </w:rPr>
        <w:t>0</w:t>
      </w:r>
      <w:r>
        <w:rPr>
          <w:rFonts w:hint="eastAsia" w:ascii="仿宋" w:hAnsi="仿宋" w:eastAsia="仿宋"/>
          <w:sz w:val="32"/>
          <w:szCs w:val="32"/>
        </w:rPr>
        <w:t>人；年末学生人数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lang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5D07F58B">
      <w:pPr>
        <w:ind w:firstLine="630"/>
        <w:jc w:val="left"/>
        <w:rPr>
          <w:rFonts w:hint="eastAsia" w:ascii="仿宋" w:hAnsi="仿宋" w:eastAsia="仿宋"/>
          <w:sz w:val="30"/>
          <w:szCs w:val="30"/>
          <w:lang w:val="en-US" w:eastAsia="zh-CN"/>
        </w:rPr>
      </w:pPr>
    </w:p>
    <w:p w14:paraId="54CD9E83">
      <w:pPr>
        <w:pStyle w:val="9"/>
        <w:rPr>
          <w:rFonts w:hint="eastAsia" w:ascii="仿宋" w:hAnsi="仿宋" w:eastAsia="仿宋"/>
          <w:sz w:val="30"/>
          <w:szCs w:val="30"/>
          <w:lang w:val="en-US" w:eastAsia="zh-CN"/>
        </w:rPr>
      </w:pPr>
    </w:p>
    <w:p w14:paraId="64BF9F52">
      <w:pPr>
        <w:pStyle w:val="9"/>
        <w:rPr>
          <w:rFonts w:hint="eastAsia" w:ascii="仿宋" w:hAnsi="仿宋" w:eastAsia="仿宋"/>
          <w:sz w:val="30"/>
          <w:szCs w:val="30"/>
          <w:lang w:val="en-US" w:eastAsia="zh-CN"/>
        </w:rPr>
      </w:pPr>
    </w:p>
    <w:p w14:paraId="68D24EF2">
      <w:pPr>
        <w:pStyle w:val="9"/>
        <w:rPr>
          <w:rFonts w:hint="eastAsia" w:ascii="仿宋" w:hAnsi="仿宋" w:eastAsia="仿宋"/>
          <w:sz w:val="30"/>
          <w:szCs w:val="30"/>
          <w:lang w:val="en-US" w:eastAsia="zh-CN"/>
        </w:rPr>
      </w:pPr>
    </w:p>
    <w:p w14:paraId="7A8E3863">
      <w:pPr>
        <w:pStyle w:val="9"/>
        <w:rPr>
          <w:rFonts w:hint="eastAsia" w:ascii="仿宋" w:hAnsi="仿宋" w:eastAsia="仿宋"/>
          <w:sz w:val="30"/>
          <w:szCs w:val="30"/>
          <w:lang w:val="en-US" w:eastAsia="zh-CN"/>
        </w:rPr>
      </w:pPr>
    </w:p>
    <w:p w14:paraId="183D1537">
      <w:pPr>
        <w:pStyle w:val="9"/>
        <w:rPr>
          <w:rFonts w:hint="eastAsia" w:ascii="仿宋" w:hAnsi="仿宋" w:eastAsia="仿宋"/>
          <w:sz w:val="30"/>
          <w:szCs w:val="30"/>
          <w:lang w:val="en-US" w:eastAsia="zh-CN"/>
        </w:rPr>
      </w:pPr>
    </w:p>
    <w:p w14:paraId="7E9AAC94">
      <w:pPr>
        <w:pStyle w:val="9"/>
        <w:rPr>
          <w:rFonts w:hint="eastAsia" w:ascii="仿宋" w:hAnsi="仿宋" w:eastAsia="仿宋"/>
          <w:sz w:val="30"/>
          <w:szCs w:val="30"/>
          <w:lang w:val="en-US" w:eastAsia="zh-CN"/>
        </w:rPr>
      </w:pPr>
    </w:p>
    <w:p w14:paraId="3DCF7FA5">
      <w:pPr>
        <w:pStyle w:val="9"/>
        <w:rPr>
          <w:rFonts w:hint="eastAsia" w:ascii="仿宋" w:hAnsi="仿宋" w:eastAsia="仿宋"/>
          <w:sz w:val="30"/>
          <w:szCs w:val="30"/>
          <w:lang w:val="en-US" w:eastAsia="zh-CN"/>
        </w:rPr>
      </w:pPr>
    </w:p>
    <w:p w14:paraId="74CEA5B8">
      <w:pPr>
        <w:pStyle w:val="9"/>
        <w:rPr>
          <w:rFonts w:hint="eastAsia" w:ascii="仿宋" w:hAnsi="仿宋" w:eastAsia="仿宋"/>
          <w:sz w:val="30"/>
          <w:szCs w:val="30"/>
          <w:lang w:val="en-US" w:eastAsia="zh-CN"/>
        </w:rPr>
      </w:pPr>
    </w:p>
    <w:p w14:paraId="19223524">
      <w:pPr>
        <w:pStyle w:val="9"/>
        <w:rPr>
          <w:rFonts w:hint="eastAsia" w:ascii="仿宋" w:hAnsi="仿宋" w:eastAsia="仿宋"/>
          <w:sz w:val="30"/>
          <w:szCs w:val="30"/>
          <w:lang w:val="en-US" w:eastAsia="zh-CN"/>
        </w:rPr>
      </w:pPr>
    </w:p>
    <w:p w14:paraId="12486E7F">
      <w:pPr>
        <w:pStyle w:val="9"/>
        <w:rPr>
          <w:rFonts w:hint="eastAsia" w:ascii="仿宋" w:hAnsi="仿宋" w:eastAsia="仿宋"/>
          <w:sz w:val="30"/>
          <w:szCs w:val="30"/>
          <w:lang w:val="en-US" w:eastAsia="zh-CN"/>
        </w:rPr>
      </w:pPr>
    </w:p>
    <w:p w14:paraId="1B77C668">
      <w:pPr>
        <w:pStyle w:val="9"/>
        <w:rPr>
          <w:rFonts w:hint="eastAsia" w:ascii="仿宋" w:hAnsi="仿宋" w:eastAsia="仿宋"/>
          <w:sz w:val="30"/>
          <w:szCs w:val="30"/>
          <w:lang w:val="en-US" w:eastAsia="zh-CN"/>
        </w:rPr>
      </w:pPr>
    </w:p>
    <w:p w14:paraId="0EB313A8">
      <w:pPr>
        <w:pStyle w:val="9"/>
        <w:rPr>
          <w:rFonts w:hint="eastAsia" w:ascii="仿宋" w:hAnsi="仿宋" w:eastAsia="仿宋"/>
          <w:sz w:val="30"/>
          <w:szCs w:val="30"/>
          <w:lang w:val="en-US" w:eastAsia="zh-CN"/>
        </w:rPr>
      </w:pPr>
    </w:p>
    <w:p w14:paraId="713CC612">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1CAFE477">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第二部分  202</w:t>
      </w:r>
      <w:r>
        <w:rPr>
          <w:rFonts w:hint="eastAsia" w:ascii="黑体" w:hAnsi="黑体" w:eastAsia="黑体" w:cs="黑体"/>
          <w:b w:val="0"/>
          <w:bCs/>
          <w:color w:val="auto"/>
          <w:sz w:val="44"/>
          <w:szCs w:val="44"/>
          <w:lang w:val="en-US" w:eastAsia="zh-CN"/>
        </w:rPr>
        <w:t>2</w:t>
      </w:r>
      <w:r>
        <w:rPr>
          <w:rFonts w:hint="eastAsia" w:ascii="黑体" w:hAnsi="黑体" w:eastAsia="黑体" w:cs="黑体"/>
          <w:b w:val="0"/>
          <w:bCs/>
          <w:color w:val="auto"/>
          <w:sz w:val="44"/>
          <w:szCs w:val="44"/>
        </w:rPr>
        <w:t>年度部门决算表</w:t>
      </w:r>
    </w:p>
    <w:p w14:paraId="3CC7EBA7">
      <w:pPr>
        <w:pStyle w:val="9"/>
        <w:rPr>
          <w:rFonts w:hint="eastAsia" w:ascii="宋体" w:hAnsi="宋体" w:eastAsia="宋体"/>
          <w:b/>
          <w:sz w:val="32"/>
          <w:szCs w:val="32"/>
          <w:lang w:eastAsia="zh-CN"/>
        </w:rPr>
      </w:pPr>
      <w:r>
        <w:rPr>
          <w:rFonts w:hint="eastAsia" w:ascii="宋体" w:hAnsi="宋体" w:eastAsia="宋体"/>
          <w:b/>
          <w:sz w:val="32"/>
          <w:szCs w:val="32"/>
          <w:lang w:eastAsia="zh-CN"/>
        </w:rPr>
        <w:drawing>
          <wp:inline distT="0" distB="0" distL="114300" distR="114300">
            <wp:extent cx="5273040" cy="5233670"/>
            <wp:effectExtent l="0" t="0" r="3810" b="5080"/>
            <wp:docPr id="2" name="图片 2" descr="1695006070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5006070178"/>
                    <pic:cNvPicPr>
                      <a:picLocks noChangeAspect="1"/>
                    </pic:cNvPicPr>
                  </pic:nvPicPr>
                  <pic:blipFill>
                    <a:blip r:embed="rId4"/>
                    <a:stretch>
                      <a:fillRect/>
                    </a:stretch>
                  </pic:blipFill>
                  <pic:spPr>
                    <a:xfrm>
                      <a:off x="0" y="0"/>
                      <a:ext cx="5273040" cy="5233670"/>
                    </a:xfrm>
                    <a:prstGeom prst="rect">
                      <a:avLst/>
                    </a:prstGeom>
                  </pic:spPr>
                </pic:pic>
              </a:graphicData>
            </a:graphic>
          </wp:inline>
        </w:drawing>
      </w:r>
    </w:p>
    <w:p w14:paraId="1CD577A8">
      <w:pPr>
        <w:pStyle w:val="9"/>
        <w:rPr>
          <w:rFonts w:hint="eastAsia" w:ascii="宋体" w:hAnsi="宋体"/>
          <w:b/>
          <w:sz w:val="32"/>
          <w:szCs w:val="32"/>
        </w:rPr>
      </w:pPr>
    </w:p>
    <w:p w14:paraId="4CF978D1">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67325" cy="5438775"/>
            <wp:effectExtent l="0" t="0" r="9525" b="9525"/>
            <wp:docPr id="5" name="图片 5" descr="169500621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95006213295"/>
                    <pic:cNvPicPr>
                      <a:picLocks noChangeAspect="1"/>
                    </pic:cNvPicPr>
                  </pic:nvPicPr>
                  <pic:blipFill>
                    <a:blip r:embed="rId5"/>
                    <a:stretch>
                      <a:fillRect/>
                    </a:stretch>
                  </pic:blipFill>
                  <pic:spPr>
                    <a:xfrm>
                      <a:off x="0" y="0"/>
                      <a:ext cx="5267325" cy="5438775"/>
                    </a:xfrm>
                    <a:prstGeom prst="rect">
                      <a:avLst/>
                    </a:prstGeom>
                  </pic:spPr>
                </pic:pic>
              </a:graphicData>
            </a:graphic>
          </wp:inline>
        </w:drawing>
      </w:r>
    </w:p>
    <w:p w14:paraId="0DB9BA7D">
      <w:pPr>
        <w:autoSpaceDE w:val="0"/>
        <w:autoSpaceDN w:val="0"/>
        <w:adjustRightInd w:val="0"/>
        <w:spacing w:line="360" w:lineRule="auto"/>
        <w:jc w:val="center"/>
        <w:rPr>
          <w:rFonts w:hint="eastAsia" w:eastAsia="宋体"/>
          <w:lang w:eastAsia="zh-CN"/>
        </w:rPr>
      </w:pPr>
    </w:p>
    <w:p w14:paraId="0793DA10">
      <w:pPr>
        <w:autoSpaceDE w:val="0"/>
        <w:autoSpaceDN w:val="0"/>
        <w:adjustRightInd w:val="0"/>
        <w:spacing w:line="360" w:lineRule="auto"/>
        <w:jc w:val="center"/>
        <w:rPr>
          <w:rFonts w:hint="eastAsia" w:eastAsia="宋体"/>
          <w:lang w:eastAsia="zh-CN"/>
        </w:rPr>
      </w:pPr>
    </w:p>
    <w:p w14:paraId="59F4B12B">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3675" cy="5873115"/>
            <wp:effectExtent l="0" t="0" r="3175" b="13335"/>
            <wp:docPr id="6" name="图片 6" descr="169500625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95006253158"/>
                    <pic:cNvPicPr>
                      <a:picLocks noChangeAspect="1"/>
                    </pic:cNvPicPr>
                  </pic:nvPicPr>
                  <pic:blipFill>
                    <a:blip r:embed="rId6"/>
                    <a:stretch>
                      <a:fillRect/>
                    </a:stretch>
                  </pic:blipFill>
                  <pic:spPr>
                    <a:xfrm>
                      <a:off x="0" y="0"/>
                      <a:ext cx="5273675" cy="5873115"/>
                    </a:xfrm>
                    <a:prstGeom prst="rect">
                      <a:avLst/>
                    </a:prstGeom>
                  </pic:spPr>
                </pic:pic>
              </a:graphicData>
            </a:graphic>
          </wp:inline>
        </w:drawing>
      </w:r>
    </w:p>
    <w:p w14:paraId="75DF11FD">
      <w:pPr>
        <w:autoSpaceDE w:val="0"/>
        <w:autoSpaceDN w:val="0"/>
        <w:adjustRightInd w:val="0"/>
        <w:spacing w:line="360" w:lineRule="auto"/>
        <w:jc w:val="left"/>
        <w:rPr>
          <w:rFonts w:hint="eastAsia" w:eastAsia="宋体"/>
          <w:szCs w:val="30"/>
          <w:lang w:eastAsia="zh-CN"/>
        </w:rPr>
      </w:pPr>
    </w:p>
    <w:p w14:paraId="67A983A0">
      <w:pPr>
        <w:pStyle w:val="9"/>
        <w:rPr>
          <w:rFonts w:hint="eastAsia" w:eastAsia="宋体"/>
          <w:szCs w:val="30"/>
          <w:lang w:eastAsia="zh-CN"/>
        </w:rPr>
      </w:pPr>
    </w:p>
    <w:p w14:paraId="2906E24B">
      <w:pPr>
        <w:pStyle w:val="9"/>
        <w:rPr>
          <w:rFonts w:hint="eastAsia" w:eastAsia="宋体"/>
          <w:szCs w:val="30"/>
          <w:lang w:eastAsia="zh-CN"/>
        </w:rPr>
      </w:pPr>
      <w:r>
        <w:rPr>
          <w:rFonts w:hint="eastAsia" w:eastAsia="宋体"/>
          <w:szCs w:val="30"/>
          <w:lang w:eastAsia="zh-CN"/>
        </w:rPr>
        <w:drawing>
          <wp:inline distT="0" distB="0" distL="114300" distR="114300">
            <wp:extent cx="5271135" cy="3830320"/>
            <wp:effectExtent l="0" t="0" r="5715" b="17780"/>
            <wp:docPr id="7" name="图片 7" descr="169500630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95006303329"/>
                    <pic:cNvPicPr>
                      <a:picLocks noChangeAspect="1"/>
                    </pic:cNvPicPr>
                  </pic:nvPicPr>
                  <pic:blipFill>
                    <a:blip r:embed="rId7"/>
                    <a:stretch>
                      <a:fillRect/>
                    </a:stretch>
                  </pic:blipFill>
                  <pic:spPr>
                    <a:xfrm>
                      <a:off x="0" y="0"/>
                      <a:ext cx="5271135" cy="3830320"/>
                    </a:xfrm>
                    <a:prstGeom prst="rect">
                      <a:avLst/>
                    </a:prstGeom>
                  </pic:spPr>
                </pic:pic>
              </a:graphicData>
            </a:graphic>
          </wp:inline>
        </w:drawing>
      </w:r>
    </w:p>
    <w:p w14:paraId="06D90446">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5915025"/>
            <wp:effectExtent l="0" t="0" r="7620" b="9525"/>
            <wp:docPr id="8" name="图片 8" descr="1695006320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95006320524"/>
                    <pic:cNvPicPr>
                      <a:picLocks noChangeAspect="1"/>
                    </pic:cNvPicPr>
                  </pic:nvPicPr>
                  <pic:blipFill>
                    <a:blip r:embed="rId8"/>
                    <a:stretch>
                      <a:fillRect/>
                    </a:stretch>
                  </pic:blipFill>
                  <pic:spPr>
                    <a:xfrm>
                      <a:off x="0" y="0"/>
                      <a:ext cx="5269230" cy="5915025"/>
                    </a:xfrm>
                    <a:prstGeom prst="rect">
                      <a:avLst/>
                    </a:prstGeom>
                  </pic:spPr>
                </pic:pic>
              </a:graphicData>
            </a:graphic>
          </wp:inline>
        </w:drawing>
      </w:r>
    </w:p>
    <w:p w14:paraId="0EB7A98E">
      <w:pPr>
        <w:pStyle w:val="9"/>
        <w:rPr>
          <w:rFonts w:hint="eastAsia"/>
          <w:lang w:eastAsia="zh-CN"/>
        </w:rPr>
      </w:pPr>
      <w:r>
        <w:rPr>
          <w:rFonts w:hint="eastAsia"/>
          <w:lang w:eastAsia="zh-CN"/>
        </w:rPr>
        <w:drawing>
          <wp:inline distT="0" distB="0" distL="114300" distR="114300">
            <wp:extent cx="5266690" cy="8443595"/>
            <wp:effectExtent l="0" t="0" r="10160" b="14605"/>
            <wp:docPr id="9" name="图片 9" descr="1695006346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95006346932"/>
                    <pic:cNvPicPr>
                      <a:picLocks noChangeAspect="1"/>
                    </pic:cNvPicPr>
                  </pic:nvPicPr>
                  <pic:blipFill>
                    <a:blip r:embed="rId9"/>
                    <a:stretch>
                      <a:fillRect/>
                    </a:stretch>
                  </pic:blipFill>
                  <pic:spPr>
                    <a:xfrm>
                      <a:off x="0" y="0"/>
                      <a:ext cx="5266690" cy="8443595"/>
                    </a:xfrm>
                    <a:prstGeom prst="rect">
                      <a:avLst/>
                    </a:prstGeom>
                  </pic:spPr>
                </pic:pic>
              </a:graphicData>
            </a:graphic>
          </wp:inline>
        </w:drawing>
      </w:r>
    </w:p>
    <w:p w14:paraId="2AAE1336">
      <w:pPr>
        <w:pStyle w:val="9"/>
        <w:rPr>
          <w:rFonts w:hint="eastAsia"/>
          <w:lang w:eastAsia="zh-CN"/>
        </w:rPr>
      </w:pPr>
    </w:p>
    <w:p w14:paraId="1B1A5ABD">
      <w:pPr>
        <w:pStyle w:val="9"/>
        <w:rPr>
          <w:rFonts w:hint="eastAsia"/>
          <w:szCs w:val="30"/>
          <w:lang w:eastAsia="zh-CN"/>
        </w:rPr>
      </w:pPr>
      <w:r>
        <w:rPr>
          <w:rFonts w:hint="eastAsia"/>
          <w:szCs w:val="30"/>
          <w:lang w:eastAsia="zh-CN"/>
        </w:rPr>
        <w:drawing>
          <wp:inline distT="0" distB="0" distL="114300" distR="114300">
            <wp:extent cx="5266690" cy="2037080"/>
            <wp:effectExtent l="0" t="0" r="10160" b="1270"/>
            <wp:docPr id="10" name="图片 10" descr="1695006390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95006390637"/>
                    <pic:cNvPicPr>
                      <a:picLocks noChangeAspect="1"/>
                    </pic:cNvPicPr>
                  </pic:nvPicPr>
                  <pic:blipFill>
                    <a:blip r:embed="rId10"/>
                    <a:stretch>
                      <a:fillRect/>
                    </a:stretch>
                  </pic:blipFill>
                  <pic:spPr>
                    <a:xfrm>
                      <a:off x="0" y="0"/>
                      <a:ext cx="5266690" cy="2037080"/>
                    </a:xfrm>
                    <a:prstGeom prst="rect">
                      <a:avLst/>
                    </a:prstGeom>
                  </pic:spPr>
                </pic:pic>
              </a:graphicData>
            </a:graphic>
          </wp:inline>
        </w:drawing>
      </w:r>
    </w:p>
    <w:p w14:paraId="2055A00F">
      <w:pPr>
        <w:pStyle w:val="9"/>
        <w:rPr>
          <w:rFonts w:hint="eastAsia"/>
          <w:szCs w:val="30"/>
          <w:lang w:eastAsia="zh-CN"/>
        </w:rPr>
      </w:pPr>
    </w:p>
    <w:p w14:paraId="6CD045AC">
      <w:pPr>
        <w:pStyle w:val="9"/>
        <w:rPr>
          <w:rFonts w:hint="eastAsia"/>
          <w:szCs w:val="30"/>
          <w:lang w:eastAsia="zh-CN"/>
        </w:rPr>
      </w:pPr>
    </w:p>
    <w:p w14:paraId="47EC9D96">
      <w:pPr>
        <w:pStyle w:val="9"/>
        <w:rPr>
          <w:rFonts w:hint="eastAsia"/>
          <w:szCs w:val="30"/>
          <w:lang w:eastAsia="zh-CN"/>
        </w:rPr>
      </w:pPr>
    </w:p>
    <w:p w14:paraId="3E427043">
      <w:pPr>
        <w:pStyle w:val="9"/>
        <w:rPr>
          <w:rFonts w:hint="eastAsia"/>
          <w:szCs w:val="30"/>
          <w:lang w:eastAsia="zh-CN"/>
        </w:rPr>
      </w:pPr>
    </w:p>
    <w:p w14:paraId="594088CC">
      <w:pPr>
        <w:pStyle w:val="9"/>
        <w:rPr>
          <w:rFonts w:hint="eastAsia"/>
          <w:szCs w:val="30"/>
          <w:lang w:eastAsia="zh-CN"/>
        </w:rPr>
      </w:pPr>
    </w:p>
    <w:p w14:paraId="7ED5CEEE">
      <w:pPr>
        <w:pStyle w:val="9"/>
        <w:rPr>
          <w:rFonts w:hint="eastAsia"/>
          <w:szCs w:val="30"/>
          <w:lang w:eastAsia="zh-CN"/>
        </w:rPr>
      </w:pPr>
    </w:p>
    <w:p w14:paraId="482A08C0">
      <w:pPr>
        <w:pStyle w:val="9"/>
        <w:rPr>
          <w:rFonts w:hint="eastAsia"/>
          <w:szCs w:val="30"/>
          <w:lang w:eastAsia="zh-CN"/>
        </w:rPr>
      </w:pPr>
    </w:p>
    <w:p w14:paraId="24DCA664">
      <w:pPr>
        <w:pStyle w:val="9"/>
        <w:rPr>
          <w:rFonts w:hint="eastAsia"/>
          <w:szCs w:val="30"/>
          <w:lang w:eastAsia="zh-CN"/>
        </w:rPr>
      </w:pPr>
    </w:p>
    <w:p w14:paraId="34918612">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2405" cy="2749550"/>
            <wp:effectExtent l="0" t="0" r="4445" b="12700"/>
            <wp:docPr id="11" name="图片 11" descr="1695006514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95006514441"/>
                    <pic:cNvPicPr>
                      <a:picLocks noChangeAspect="1"/>
                    </pic:cNvPicPr>
                  </pic:nvPicPr>
                  <pic:blipFill>
                    <a:blip r:embed="rId11"/>
                    <a:stretch>
                      <a:fillRect/>
                    </a:stretch>
                  </pic:blipFill>
                  <pic:spPr>
                    <a:xfrm>
                      <a:off x="0" y="0"/>
                      <a:ext cx="5272405" cy="2749550"/>
                    </a:xfrm>
                    <a:prstGeom prst="rect">
                      <a:avLst/>
                    </a:prstGeom>
                  </pic:spPr>
                </pic:pic>
              </a:graphicData>
            </a:graphic>
          </wp:inline>
        </w:drawing>
      </w:r>
    </w:p>
    <w:p w14:paraId="56FACC55">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部门</w:t>
      </w:r>
      <w:r>
        <w:rPr>
          <w:rFonts w:hint="eastAsia"/>
          <w:szCs w:val="22"/>
          <w:lang w:eastAsia="zh-CN"/>
        </w:rPr>
        <w:t>无国有资本经营预算财政拨款支出</w:t>
      </w:r>
      <w:r>
        <w:rPr>
          <w:rFonts w:hint="eastAsia"/>
          <w:szCs w:val="22"/>
          <w:lang w:val="en-US" w:eastAsia="zh-CN"/>
        </w:rPr>
        <w:t>情况</w:t>
      </w:r>
      <w:r>
        <w:rPr>
          <w:rFonts w:hint="eastAsia" w:eastAsia="宋体"/>
          <w:szCs w:val="30"/>
          <w:lang w:eastAsia="zh-CN"/>
        </w:rPr>
        <w:drawing>
          <wp:inline distT="0" distB="0" distL="114300" distR="114300">
            <wp:extent cx="5273040" cy="4688840"/>
            <wp:effectExtent l="0" t="0" r="3810" b="16510"/>
            <wp:docPr id="12" name="图片 12" descr="1695006538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95006538525"/>
                    <pic:cNvPicPr>
                      <a:picLocks noChangeAspect="1"/>
                    </pic:cNvPicPr>
                  </pic:nvPicPr>
                  <pic:blipFill>
                    <a:blip r:embed="rId12"/>
                    <a:stretch>
                      <a:fillRect/>
                    </a:stretch>
                  </pic:blipFill>
                  <pic:spPr>
                    <a:xfrm>
                      <a:off x="0" y="0"/>
                      <a:ext cx="5273040" cy="4688840"/>
                    </a:xfrm>
                    <a:prstGeom prst="rect">
                      <a:avLst/>
                    </a:prstGeom>
                  </pic:spPr>
                </pic:pic>
              </a:graphicData>
            </a:graphic>
          </wp:inline>
        </w:drawing>
      </w:r>
    </w:p>
    <w:p w14:paraId="0C39D5D2">
      <w:pPr>
        <w:pStyle w:val="9"/>
        <w:rPr>
          <w:rFonts w:hint="eastAsia" w:eastAsia="宋体"/>
          <w:szCs w:val="30"/>
          <w:lang w:eastAsia="zh-CN"/>
        </w:rPr>
      </w:pPr>
    </w:p>
    <w:p w14:paraId="456BAEFB">
      <w:pPr>
        <w:pStyle w:val="9"/>
        <w:rPr>
          <w:rFonts w:hint="eastAsia" w:eastAsia="宋体"/>
          <w:szCs w:val="30"/>
          <w:lang w:eastAsia="zh-CN"/>
        </w:rPr>
      </w:pPr>
    </w:p>
    <w:p w14:paraId="471261C2">
      <w:pPr>
        <w:pStyle w:val="9"/>
        <w:rPr>
          <w:rFonts w:hint="eastAsia" w:eastAsia="宋体"/>
          <w:szCs w:val="30"/>
          <w:lang w:eastAsia="zh-CN"/>
        </w:rPr>
      </w:pPr>
    </w:p>
    <w:p w14:paraId="2E45735B">
      <w:pPr>
        <w:autoSpaceDE w:val="0"/>
        <w:autoSpaceDN w:val="0"/>
        <w:adjustRightInd w:val="0"/>
        <w:spacing w:line="360" w:lineRule="auto"/>
        <w:jc w:val="center"/>
        <w:rPr>
          <w:rFonts w:hint="eastAsia" w:ascii="宋体" w:hAnsi="宋体" w:eastAsia="宋体"/>
          <w:b/>
          <w:sz w:val="32"/>
          <w:szCs w:val="32"/>
          <w:lang w:eastAsia="zh-CN"/>
        </w:rPr>
      </w:pPr>
      <w:r>
        <w:rPr>
          <w:rFonts w:hint="eastAsia" w:ascii="宋体" w:hAnsi="宋体" w:eastAsia="宋体"/>
          <w:b/>
          <w:sz w:val="32"/>
          <w:szCs w:val="32"/>
          <w:lang w:eastAsia="zh-CN"/>
        </w:rPr>
        <w:drawing>
          <wp:inline distT="0" distB="0" distL="114300" distR="114300">
            <wp:extent cx="5269230" cy="3066415"/>
            <wp:effectExtent l="0" t="0" r="7620" b="635"/>
            <wp:docPr id="13" name="图片 13" descr="169500657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95006572721"/>
                    <pic:cNvPicPr>
                      <a:picLocks noChangeAspect="1"/>
                    </pic:cNvPicPr>
                  </pic:nvPicPr>
                  <pic:blipFill>
                    <a:blip r:embed="rId13"/>
                    <a:stretch>
                      <a:fillRect/>
                    </a:stretch>
                  </pic:blipFill>
                  <pic:spPr>
                    <a:xfrm>
                      <a:off x="0" y="0"/>
                      <a:ext cx="5269230" cy="3066415"/>
                    </a:xfrm>
                    <a:prstGeom prst="rect">
                      <a:avLst/>
                    </a:prstGeom>
                  </pic:spPr>
                </pic:pic>
              </a:graphicData>
            </a:graphic>
          </wp:inline>
        </w:drawing>
      </w:r>
    </w:p>
    <w:p w14:paraId="63600159">
      <w:pPr>
        <w:keepNext w:val="0"/>
        <w:keepLines w:val="0"/>
        <w:pageBreakBefore w:val="0"/>
        <w:widowControl/>
        <w:kinsoku/>
        <w:wordWrap/>
        <w:overflowPunct/>
        <w:topLinePunct w:val="0"/>
        <w:bidi w:val="0"/>
        <w:snapToGrid/>
        <w:spacing w:line="600" w:lineRule="exact"/>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第三部分  202</w:t>
      </w:r>
      <w:r>
        <w:rPr>
          <w:rFonts w:hint="eastAsia" w:ascii="黑体" w:hAnsi="黑体" w:eastAsia="黑体" w:cs="黑体"/>
          <w:b w:val="0"/>
          <w:bCs/>
          <w:color w:val="auto"/>
          <w:sz w:val="44"/>
          <w:szCs w:val="44"/>
          <w:lang w:val="en-US" w:eastAsia="zh-CN"/>
        </w:rPr>
        <w:t>2</w:t>
      </w:r>
      <w:r>
        <w:rPr>
          <w:rFonts w:hint="eastAsia" w:ascii="黑体" w:hAnsi="黑体" w:eastAsia="黑体" w:cs="黑体"/>
          <w:b w:val="0"/>
          <w:bCs/>
          <w:color w:val="auto"/>
          <w:sz w:val="44"/>
          <w:szCs w:val="44"/>
        </w:rPr>
        <w:t>年度部门决算情况说明</w:t>
      </w:r>
    </w:p>
    <w:p w14:paraId="604298F8">
      <w:pPr>
        <w:ind w:firstLine="630"/>
        <w:jc w:val="left"/>
        <w:rPr>
          <w:rFonts w:hint="eastAsia" w:ascii="仿宋" w:hAnsi="仿宋" w:eastAsia="仿宋"/>
          <w:sz w:val="30"/>
          <w:szCs w:val="30"/>
        </w:rPr>
      </w:pPr>
    </w:p>
    <w:p w14:paraId="2D90943E">
      <w:pPr>
        <w:ind w:firstLine="630"/>
        <w:jc w:val="left"/>
        <w:rPr>
          <w:rFonts w:hint="eastAsia" w:ascii="黑体" w:hAnsi="黑体" w:eastAsia="黑体"/>
          <w:sz w:val="36"/>
          <w:szCs w:val="36"/>
        </w:rPr>
      </w:pPr>
      <w:r>
        <w:rPr>
          <w:rFonts w:hint="eastAsia" w:ascii="黑体" w:hAnsi="黑体" w:eastAsia="黑体"/>
          <w:sz w:val="36"/>
          <w:szCs w:val="36"/>
        </w:rPr>
        <w:t>一、收入决算情况说明</w:t>
      </w:r>
    </w:p>
    <w:p w14:paraId="1815E816">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年度收入总计</w:t>
      </w:r>
      <w:r>
        <w:rPr>
          <w:rFonts w:hint="eastAsia" w:ascii="仿宋" w:hAnsi="仿宋" w:eastAsia="仿宋"/>
          <w:sz w:val="32"/>
          <w:szCs w:val="32"/>
          <w:lang w:val="en-US" w:eastAsia="zh-CN"/>
        </w:rPr>
        <w:t>7066.17</w:t>
      </w:r>
      <w:r>
        <w:rPr>
          <w:rFonts w:hint="eastAsia" w:ascii="仿宋" w:hAnsi="仿宋" w:eastAsia="仿宋"/>
          <w:sz w:val="32"/>
          <w:szCs w:val="32"/>
        </w:rPr>
        <w:t>万元，</w:t>
      </w:r>
      <w:r>
        <w:rPr>
          <w:rFonts w:hint="eastAsia" w:ascii="仿宋_GB2312" w:hAnsi="仿宋_GB2312" w:eastAsia="仿宋_GB2312"/>
          <w:color w:val="auto"/>
          <w:sz w:val="32"/>
          <w:szCs w:val="32"/>
        </w:rPr>
        <w:t>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3469.66</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其中年初结转和结余</w:t>
      </w:r>
      <w:r>
        <w:rPr>
          <w:rFonts w:hint="eastAsia" w:ascii="仿宋" w:hAnsi="仿宋" w:eastAsia="仿宋"/>
          <w:sz w:val="32"/>
          <w:szCs w:val="32"/>
          <w:lang w:val="en-US" w:eastAsia="zh-CN"/>
        </w:rPr>
        <w:t>136.65</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减少2109.01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下降93.9%</w:t>
      </w:r>
      <w:r>
        <w:rPr>
          <w:rFonts w:hint="eastAsia" w:ascii="仿宋" w:hAnsi="仿宋" w:eastAsia="仿宋"/>
          <w:sz w:val="32"/>
          <w:szCs w:val="32"/>
        </w:rPr>
        <w:t>；本年收入合计</w:t>
      </w:r>
      <w:r>
        <w:rPr>
          <w:rFonts w:hint="eastAsia" w:ascii="仿宋" w:hAnsi="仿宋" w:eastAsia="仿宋"/>
          <w:sz w:val="32"/>
          <w:szCs w:val="32"/>
          <w:lang w:val="en-US" w:eastAsia="zh-CN"/>
        </w:rPr>
        <w:t>6929.52</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增加4227.81</w:t>
      </w:r>
      <w:r>
        <w:rPr>
          <w:rFonts w:hint="eastAsia" w:ascii="仿宋" w:hAnsi="仿宋" w:eastAsia="仿宋"/>
          <w:sz w:val="32"/>
          <w:szCs w:val="32"/>
        </w:rPr>
        <w:t>万元，</w:t>
      </w:r>
      <w:r>
        <w:rPr>
          <w:rFonts w:hint="eastAsia" w:ascii="仿宋" w:hAnsi="仿宋" w:eastAsia="仿宋"/>
          <w:sz w:val="32"/>
          <w:szCs w:val="32"/>
          <w:lang w:val="en-US" w:eastAsia="zh-CN"/>
        </w:rPr>
        <w:t>增长313.0</w:t>
      </w:r>
      <w:r>
        <w:rPr>
          <w:rFonts w:hint="eastAsia" w:ascii="仿宋" w:hAnsi="仿宋" w:eastAsia="仿宋"/>
          <w:sz w:val="32"/>
          <w:szCs w:val="32"/>
        </w:rPr>
        <w:t>%，主要原因是：</w:t>
      </w:r>
      <w:r>
        <w:rPr>
          <w:rFonts w:hint="eastAsia" w:ascii="仿宋" w:hAnsi="仿宋" w:eastAsia="仿宋"/>
          <w:sz w:val="32"/>
          <w:szCs w:val="32"/>
          <w:lang w:val="en-US" w:eastAsia="zh-CN"/>
        </w:rPr>
        <w:t>本级及下属单位均有新增项目支出安排。</w:t>
      </w:r>
    </w:p>
    <w:p w14:paraId="695B2BE1">
      <w:pPr>
        <w:ind w:firstLine="630"/>
        <w:jc w:val="left"/>
        <w:rPr>
          <w:rFonts w:hint="eastAsia" w:ascii="仿宋" w:hAnsi="仿宋" w:eastAsia="仿宋"/>
          <w:sz w:val="32"/>
          <w:szCs w:val="32"/>
        </w:rPr>
      </w:pPr>
      <w:r>
        <w:rPr>
          <w:rFonts w:hint="eastAsia" w:ascii="仿宋" w:hAnsi="仿宋" w:eastAsia="仿宋"/>
          <w:sz w:val="32"/>
          <w:szCs w:val="32"/>
        </w:rPr>
        <w:t>本年收入的具体构成为：财政拨款收入</w:t>
      </w:r>
      <w:r>
        <w:rPr>
          <w:rFonts w:hint="eastAsia" w:ascii="仿宋" w:hAnsi="仿宋" w:eastAsia="仿宋"/>
          <w:sz w:val="32"/>
          <w:szCs w:val="32"/>
          <w:lang w:val="en-US" w:eastAsia="zh-CN"/>
        </w:rPr>
        <w:t>6826.85</w:t>
      </w:r>
      <w:r>
        <w:rPr>
          <w:rFonts w:hint="eastAsia" w:ascii="仿宋" w:hAnsi="仿宋" w:eastAsia="仿宋"/>
          <w:sz w:val="32"/>
          <w:szCs w:val="32"/>
        </w:rPr>
        <w:t>万元，占</w:t>
      </w:r>
      <w:r>
        <w:rPr>
          <w:rFonts w:hint="eastAsia" w:ascii="仿宋" w:hAnsi="仿宋" w:eastAsia="仿宋"/>
          <w:sz w:val="32"/>
          <w:szCs w:val="32"/>
          <w:lang w:val="en-US" w:eastAsia="zh-CN"/>
        </w:rPr>
        <w:t>98.5</w:t>
      </w:r>
      <w:r>
        <w:rPr>
          <w:rFonts w:hint="eastAsia" w:ascii="仿宋" w:hAnsi="仿宋" w:eastAsia="仿宋"/>
          <w:sz w:val="32"/>
          <w:szCs w:val="32"/>
        </w:rPr>
        <w:t>%；事业收入</w:t>
      </w:r>
      <w:r>
        <w:rPr>
          <w:rFonts w:hint="eastAsia" w:ascii="仿宋" w:hAnsi="仿宋" w:eastAsia="仿宋"/>
          <w:sz w:val="32"/>
          <w:szCs w:val="32"/>
          <w:lang w:val="en-US" w:eastAsia="zh-CN"/>
        </w:rPr>
        <w:t>0万</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102.68</w:t>
      </w:r>
      <w:r>
        <w:rPr>
          <w:rFonts w:hint="eastAsia" w:ascii="仿宋" w:hAnsi="仿宋" w:eastAsia="仿宋"/>
          <w:sz w:val="32"/>
          <w:szCs w:val="32"/>
        </w:rPr>
        <w:t>万元，占</w:t>
      </w:r>
      <w:r>
        <w:rPr>
          <w:rFonts w:hint="eastAsia" w:ascii="仿宋" w:hAnsi="仿宋" w:eastAsia="仿宋"/>
          <w:sz w:val="32"/>
          <w:szCs w:val="32"/>
          <w:lang w:val="en-US" w:eastAsia="zh-CN"/>
        </w:rPr>
        <w:t>1.5</w:t>
      </w:r>
      <w:r>
        <w:rPr>
          <w:rFonts w:hint="eastAsia" w:ascii="仿宋" w:hAnsi="仿宋" w:eastAsia="仿宋"/>
          <w:sz w:val="32"/>
          <w:szCs w:val="32"/>
        </w:rPr>
        <w:t xml:space="preserve">%。  </w:t>
      </w:r>
    </w:p>
    <w:p w14:paraId="65B07F58">
      <w:pPr>
        <w:ind w:firstLine="630"/>
        <w:jc w:val="left"/>
        <w:rPr>
          <w:rFonts w:hint="eastAsia" w:ascii="黑体" w:hAnsi="黑体" w:eastAsia="黑体"/>
          <w:sz w:val="32"/>
          <w:szCs w:val="32"/>
        </w:rPr>
      </w:pPr>
      <w:r>
        <w:rPr>
          <w:rFonts w:hint="eastAsia" w:ascii="黑体" w:hAnsi="黑体" w:eastAsia="黑体"/>
          <w:sz w:val="32"/>
          <w:szCs w:val="32"/>
        </w:rPr>
        <w:t>二、支出决算情况说明</w:t>
      </w:r>
    </w:p>
    <w:p w14:paraId="1DD1664C">
      <w:pPr>
        <w:ind w:firstLine="630"/>
        <w:jc w:val="left"/>
        <w:rPr>
          <w:rFonts w:hint="eastAsia" w:ascii="仿宋" w:hAnsi="仿宋" w:eastAsia="仿宋"/>
          <w:sz w:val="32"/>
          <w:szCs w:val="32"/>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年度支出总计</w:t>
      </w:r>
      <w:r>
        <w:rPr>
          <w:rFonts w:hint="eastAsia" w:ascii="仿宋" w:hAnsi="仿宋" w:eastAsia="仿宋"/>
          <w:sz w:val="32"/>
          <w:szCs w:val="32"/>
          <w:lang w:val="en-US" w:eastAsia="zh-CN"/>
        </w:rPr>
        <w:t>7066.17</w:t>
      </w:r>
      <w:r>
        <w:rPr>
          <w:rFonts w:hint="eastAsia" w:ascii="仿宋" w:hAnsi="仿宋" w:eastAsia="仿宋"/>
          <w:sz w:val="32"/>
          <w:szCs w:val="32"/>
        </w:rPr>
        <w:t>元，</w:t>
      </w:r>
      <w:r>
        <w:rPr>
          <w:rFonts w:hint="eastAsia" w:ascii="仿宋_GB2312" w:hAnsi="仿宋_GB2312" w:eastAsia="仿宋_GB2312"/>
          <w:color w:val="auto"/>
          <w:sz w:val="32"/>
          <w:szCs w:val="32"/>
        </w:rPr>
        <w:t>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3469.66</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其中本年支出合计</w:t>
      </w:r>
      <w:r>
        <w:rPr>
          <w:rFonts w:hint="eastAsia" w:ascii="仿宋" w:hAnsi="仿宋" w:eastAsia="仿宋"/>
          <w:sz w:val="32"/>
          <w:szCs w:val="32"/>
          <w:lang w:val="en-US" w:eastAsia="zh-CN"/>
        </w:rPr>
        <w:t>6912.96</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增加3453.1</w:t>
      </w:r>
      <w:r>
        <w:rPr>
          <w:rFonts w:hint="eastAsia" w:ascii="仿宋" w:hAnsi="仿宋" w:eastAsia="仿宋"/>
          <w:sz w:val="32"/>
          <w:szCs w:val="32"/>
        </w:rPr>
        <w:t>万元，</w:t>
      </w:r>
      <w:r>
        <w:rPr>
          <w:rFonts w:hint="eastAsia" w:ascii="仿宋" w:hAnsi="仿宋" w:eastAsia="仿宋"/>
          <w:sz w:val="32"/>
          <w:szCs w:val="32"/>
          <w:lang w:val="en-US" w:eastAsia="zh-CN"/>
        </w:rPr>
        <w:t>增长100</w:t>
      </w:r>
      <w:r>
        <w:rPr>
          <w:rFonts w:hint="eastAsia" w:ascii="仿宋" w:hAnsi="仿宋" w:eastAsia="仿宋"/>
          <w:sz w:val="32"/>
          <w:szCs w:val="32"/>
        </w:rPr>
        <w:t>%，主要原因是：</w:t>
      </w:r>
      <w:r>
        <w:rPr>
          <w:rFonts w:hint="eastAsia" w:ascii="仿宋" w:hAnsi="仿宋" w:eastAsia="仿宋"/>
          <w:sz w:val="32"/>
          <w:szCs w:val="32"/>
          <w:lang w:val="en-US" w:eastAsia="zh-CN"/>
        </w:rPr>
        <w:t>景德镇市退役军人事务局本级新增瓷都烈士陵园综合改造项目及省级项目资金</w:t>
      </w:r>
      <w:r>
        <w:rPr>
          <w:rFonts w:hint="eastAsia" w:ascii="仿宋" w:hAnsi="仿宋" w:eastAsia="仿宋"/>
          <w:sz w:val="32"/>
          <w:szCs w:val="32"/>
        </w:rPr>
        <w:t>；年末结转和结余</w:t>
      </w:r>
      <w:r>
        <w:rPr>
          <w:rFonts w:hint="eastAsia" w:ascii="仿宋" w:hAnsi="仿宋" w:eastAsia="仿宋"/>
          <w:sz w:val="32"/>
          <w:szCs w:val="32"/>
          <w:lang w:val="en-US" w:eastAsia="zh-CN"/>
        </w:rPr>
        <w:t>153.21</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增加16.56</w:t>
      </w:r>
      <w:r>
        <w:rPr>
          <w:rFonts w:hint="eastAsia" w:ascii="仿宋" w:hAnsi="仿宋" w:eastAsia="仿宋"/>
          <w:sz w:val="32"/>
          <w:szCs w:val="32"/>
        </w:rPr>
        <w:t>万元，</w:t>
      </w:r>
      <w:r>
        <w:rPr>
          <w:rFonts w:hint="eastAsia" w:ascii="仿宋" w:hAnsi="仿宋" w:eastAsia="仿宋"/>
          <w:sz w:val="32"/>
          <w:szCs w:val="32"/>
          <w:lang w:val="en-US" w:eastAsia="zh-CN"/>
        </w:rPr>
        <w:t>增长12.1</w:t>
      </w:r>
      <w:r>
        <w:rPr>
          <w:rFonts w:hint="eastAsia" w:ascii="仿宋" w:hAnsi="仿宋" w:eastAsia="仿宋"/>
          <w:sz w:val="32"/>
          <w:szCs w:val="32"/>
        </w:rPr>
        <w:t xml:space="preserve"> %，主要原因是：</w:t>
      </w:r>
      <w:r>
        <w:rPr>
          <w:rFonts w:hint="eastAsia" w:ascii="仿宋" w:hAnsi="仿宋" w:eastAsia="仿宋"/>
          <w:sz w:val="32"/>
          <w:szCs w:val="32"/>
          <w:lang w:val="en-US" w:eastAsia="zh-CN"/>
        </w:rPr>
        <w:t>省厅年底划拨专项未及时支出</w:t>
      </w:r>
      <w:r>
        <w:rPr>
          <w:rFonts w:hint="eastAsia" w:ascii="仿宋" w:hAnsi="仿宋" w:eastAsia="仿宋"/>
          <w:sz w:val="32"/>
          <w:szCs w:val="32"/>
        </w:rPr>
        <w:t>。</w:t>
      </w:r>
    </w:p>
    <w:p w14:paraId="6E7CDFE3">
      <w:pPr>
        <w:ind w:firstLine="630"/>
        <w:jc w:val="left"/>
        <w:rPr>
          <w:rFonts w:hint="eastAsia" w:ascii="仿宋" w:hAnsi="仿宋" w:eastAsia="仿宋"/>
          <w:sz w:val="32"/>
          <w:szCs w:val="32"/>
        </w:rPr>
      </w:pPr>
      <w:r>
        <w:rPr>
          <w:rFonts w:hint="eastAsia" w:ascii="仿宋" w:hAnsi="仿宋" w:eastAsia="仿宋"/>
          <w:sz w:val="32"/>
          <w:szCs w:val="32"/>
        </w:rPr>
        <w:t>本年支出的具体构成为：基本支出</w:t>
      </w:r>
      <w:r>
        <w:rPr>
          <w:rFonts w:hint="eastAsia" w:ascii="仿宋" w:hAnsi="仿宋" w:eastAsia="仿宋"/>
          <w:sz w:val="32"/>
          <w:szCs w:val="32"/>
          <w:lang w:val="en-US" w:eastAsia="zh-CN"/>
        </w:rPr>
        <w:t>1005.45</w:t>
      </w:r>
      <w:r>
        <w:rPr>
          <w:rFonts w:hint="eastAsia" w:ascii="仿宋" w:hAnsi="仿宋" w:eastAsia="仿宋"/>
          <w:sz w:val="32"/>
          <w:szCs w:val="32"/>
        </w:rPr>
        <w:t>元，占</w:t>
      </w:r>
      <w:r>
        <w:rPr>
          <w:rFonts w:hint="eastAsia" w:ascii="仿宋" w:hAnsi="仿宋" w:eastAsia="仿宋"/>
          <w:sz w:val="32"/>
          <w:szCs w:val="32"/>
          <w:lang w:val="en-US" w:eastAsia="zh-CN"/>
        </w:rPr>
        <w:t>14.5</w:t>
      </w:r>
      <w:r>
        <w:rPr>
          <w:rFonts w:hint="eastAsia" w:ascii="仿宋" w:hAnsi="仿宋" w:eastAsia="仿宋"/>
          <w:sz w:val="32"/>
          <w:szCs w:val="32"/>
        </w:rPr>
        <w:t>%；项目支出</w:t>
      </w:r>
      <w:r>
        <w:rPr>
          <w:rFonts w:hint="eastAsia" w:ascii="仿宋" w:hAnsi="仿宋" w:eastAsia="仿宋"/>
          <w:sz w:val="32"/>
          <w:szCs w:val="32"/>
          <w:lang w:val="en-US" w:eastAsia="zh-CN"/>
        </w:rPr>
        <w:t>5907.51</w:t>
      </w:r>
      <w:r>
        <w:rPr>
          <w:rFonts w:hint="eastAsia" w:ascii="仿宋" w:hAnsi="仿宋" w:eastAsia="仿宋"/>
          <w:sz w:val="32"/>
          <w:szCs w:val="32"/>
        </w:rPr>
        <w:t>万元，占</w:t>
      </w:r>
      <w:r>
        <w:rPr>
          <w:rFonts w:hint="eastAsia" w:ascii="仿宋" w:hAnsi="仿宋" w:eastAsia="仿宋"/>
          <w:sz w:val="32"/>
          <w:szCs w:val="32"/>
          <w:lang w:val="en-US" w:eastAsia="zh-CN"/>
        </w:rPr>
        <w:t>85.5</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%；其他支出（对附属单位补助支出、上缴上级支出）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06F121E">
      <w:pPr>
        <w:ind w:firstLine="630"/>
        <w:jc w:val="left"/>
        <w:rPr>
          <w:rFonts w:hint="eastAsia" w:ascii="黑体" w:hAnsi="黑体" w:eastAsia="黑体"/>
          <w:sz w:val="32"/>
          <w:szCs w:val="32"/>
        </w:rPr>
      </w:pPr>
      <w:r>
        <w:rPr>
          <w:rFonts w:hint="eastAsia" w:ascii="黑体" w:hAnsi="黑体" w:eastAsia="黑体"/>
          <w:sz w:val="32"/>
          <w:szCs w:val="32"/>
        </w:rPr>
        <w:t>三、财政拨款支出决算情况说明</w:t>
      </w:r>
    </w:p>
    <w:p w14:paraId="556FEF25">
      <w:pPr>
        <w:ind w:firstLine="630"/>
        <w:jc w:val="left"/>
        <w:rPr>
          <w:rFonts w:hint="default" w:ascii="仿宋" w:hAnsi="仿宋" w:eastAsia="仿宋"/>
          <w:sz w:val="32"/>
          <w:szCs w:val="32"/>
          <w:lang w:val="en-US" w:eastAsia="zh-CN"/>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年度财政拨款本年支出年初预算数为</w:t>
      </w:r>
      <w:r>
        <w:rPr>
          <w:rFonts w:hint="eastAsia" w:ascii="仿宋" w:hAnsi="仿宋" w:eastAsia="仿宋"/>
          <w:sz w:val="32"/>
          <w:szCs w:val="32"/>
          <w:lang w:val="en-US" w:eastAsia="zh-CN"/>
        </w:rPr>
        <w:t>1284.77</w:t>
      </w:r>
      <w:r>
        <w:rPr>
          <w:rFonts w:hint="eastAsia" w:ascii="仿宋" w:hAnsi="仿宋" w:eastAsia="仿宋"/>
          <w:sz w:val="32"/>
          <w:szCs w:val="32"/>
        </w:rPr>
        <w:t>万元，决算数为</w:t>
      </w:r>
      <w:r>
        <w:rPr>
          <w:rFonts w:hint="eastAsia" w:ascii="仿宋" w:hAnsi="仿宋" w:eastAsia="仿宋"/>
          <w:sz w:val="32"/>
          <w:szCs w:val="32"/>
          <w:lang w:val="en-US" w:eastAsia="zh-CN"/>
        </w:rPr>
        <w:t>6826.85</w:t>
      </w:r>
      <w:r>
        <w:rPr>
          <w:rFonts w:hint="eastAsia" w:ascii="仿宋" w:hAnsi="仿宋" w:eastAsia="仿宋"/>
          <w:sz w:val="32"/>
          <w:szCs w:val="32"/>
        </w:rPr>
        <w:t>万元，完成年初预算的</w:t>
      </w:r>
      <w:r>
        <w:rPr>
          <w:rFonts w:hint="eastAsia" w:ascii="仿宋" w:hAnsi="仿宋" w:eastAsia="仿宋"/>
          <w:sz w:val="32"/>
          <w:szCs w:val="32"/>
          <w:lang w:val="en-US" w:eastAsia="zh-CN"/>
        </w:rPr>
        <w:t>531.4</w:t>
      </w:r>
      <w:r>
        <w:rPr>
          <w:rFonts w:hint="eastAsia" w:ascii="仿宋" w:hAnsi="仿宋" w:eastAsia="仿宋"/>
          <w:sz w:val="32"/>
          <w:szCs w:val="32"/>
        </w:rPr>
        <w:t>%。其中：</w:t>
      </w:r>
    </w:p>
    <w:p w14:paraId="1288E3CA">
      <w:pPr>
        <w:ind w:firstLine="630"/>
        <w:jc w:val="left"/>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一</w:t>
      </w:r>
      <w:r>
        <w:rPr>
          <w:rFonts w:hint="eastAsia" w:ascii="仿宋" w:hAnsi="仿宋" w:eastAsia="仿宋"/>
          <w:sz w:val="32"/>
          <w:szCs w:val="32"/>
          <w:lang w:eastAsia="zh-CN"/>
        </w:rPr>
        <w:t>）社会保障和就业支出</w:t>
      </w:r>
      <w:r>
        <w:rPr>
          <w:rFonts w:hint="eastAsia" w:ascii="仿宋" w:hAnsi="仿宋" w:eastAsia="仿宋"/>
          <w:sz w:val="32"/>
          <w:szCs w:val="32"/>
        </w:rPr>
        <w:t>年初预算数为</w:t>
      </w:r>
      <w:r>
        <w:rPr>
          <w:rFonts w:hint="eastAsia" w:ascii="仿宋" w:hAnsi="仿宋" w:eastAsia="仿宋"/>
          <w:sz w:val="32"/>
          <w:szCs w:val="32"/>
          <w:lang w:val="en-US" w:eastAsia="zh-CN"/>
        </w:rPr>
        <w:t>1176.68</w:t>
      </w:r>
      <w:r>
        <w:rPr>
          <w:rFonts w:hint="eastAsia" w:ascii="仿宋" w:hAnsi="仿宋" w:eastAsia="仿宋"/>
          <w:sz w:val="32"/>
          <w:szCs w:val="32"/>
        </w:rPr>
        <w:t>万元，决算数为</w:t>
      </w:r>
      <w:r>
        <w:rPr>
          <w:rFonts w:hint="eastAsia" w:ascii="仿宋" w:hAnsi="仿宋" w:eastAsia="仿宋"/>
          <w:sz w:val="32"/>
          <w:szCs w:val="32"/>
          <w:lang w:val="en-US" w:eastAsia="zh-CN"/>
        </w:rPr>
        <w:t>2917.22</w:t>
      </w:r>
      <w:r>
        <w:rPr>
          <w:rFonts w:hint="eastAsia" w:ascii="仿宋" w:hAnsi="仿宋" w:eastAsia="仿宋"/>
          <w:sz w:val="32"/>
          <w:szCs w:val="32"/>
        </w:rPr>
        <w:t>万元，完成年初预算的</w:t>
      </w:r>
      <w:r>
        <w:rPr>
          <w:rFonts w:hint="eastAsia" w:ascii="仿宋" w:hAnsi="仿宋" w:eastAsia="仿宋"/>
          <w:sz w:val="32"/>
          <w:szCs w:val="32"/>
          <w:lang w:val="en-US" w:eastAsia="zh-CN"/>
        </w:rPr>
        <w:t>247.9</w:t>
      </w:r>
      <w:r>
        <w:rPr>
          <w:rFonts w:hint="eastAsia" w:ascii="仿宋" w:hAnsi="仿宋" w:eastAsia="仿宋"/>
          <w:sz w:val="32"/>
          <w:szCs w:val="32"/>
        </w:rPr>
        <w:t>%，主要原因是：</w:t>
      </w:r>
      <w:r>
        <w:rPr>
          <w:rFonts w:hint="eastAsia" w:ascii="仿宋" w:hAnsi="仿宋" w:eastAsia="仿宋"/>
          <w:sz w:val="32"/>
          <w:szCs w:val="32"/>
          <w:lang w:val="en-US" w:eastAsia="zh-CN"/>
        </w:rPr>
        <w:t>景德镇市退役军人事务局本级及下属单位完成上级转移支付项目支出。</w:t>
      </w:r>
    </w:p>
    <w:p w14:paraId="3A4951B5">
      <w:pPr>
        <w:ind w:firstLine="630"/>
        <w:jc w:val="left"/>
        <w:rPr>
          <w:rFonts w:hint="default" w:ascii="仿宋" w:hAnsi="仿宋" w:eastAsia="仿宋"/>
          <w:sz w:val="32"/>
          <w:szCs w:val="32"/>
          <w:lang w:val="en-US" w:eastAsia="zh-CN"/>
        </w:rPr>
      </w:pPr>
      <w:r>
        <w:rPr>
          <w:rFonts w:hint="eastAsia" w:ascii="仿宋" w:hAnsi="仿宋" w:eastAsia="仿宋"/>
          <w:sz w:val="32"/>
          <w:szCs w:val="32"/>
        </w:rPr>
        <w:t>（</w:t>
      </w:r>
      <w:r>
        <w:rPr>
          <w:rFonts w:hint="eastAsia" w:ascii="仿宋" w:hAnsi="仿宋" w:eastAsia="仿宋"/>
          <w:sz w:val="32"/>
          <w:szCs w:val="32"/>
          <w:lang w:val="en-US" w:eastAsia="zh-CN"/>
        </w:rPr>
        <w:t>二</w:t>
      </w:r>
      <w:r>
        <w:rPr>
          <w:rFonts w:hint="eastAsia" w:ascii="仿宋" w:hAnsi="仿宋" w:eastAsia="仿宋"/>
          <w:sz w:val="32"/>
          <w:szCs w:val="32"/>
        </w:rPr>
        <w:t>）</w:t>
      </w:r>
      <w:r>
        <w:rPr>
          <w:rFonts w:hint="eastAsia" w:ascii="仿宋" w:hAnsi="仿宋" w:eastAsia="仿宋"/>
          <w:sz w:val="32"/>
          <w:szCs w:val="32"/>
          <w:lang w:eastAsia="zh-CN"/>
        </w:rPr>
        <w:t>卫生健康支出</w:t>
      </w:r>
      <w:r>
        <w:rPr>
          <w:rFonts w:hint="eastAsia" w:ascii="仿宋" w:hAnsi="仿宋" w:eastAsia="仿宋"/>
          <w:sz w:val="32"/>
          <w:szCs w:val="32"/>
        </w:rPr>
        <w:t>年初预算数为</w:t>
      </w:r>
      <w:r>
        <w:rPr>
          <w:rFonts w:hint="eastAsia" w:ascii="仿宋" w:hAnsi="仿宋" w:eastAsia="仿宋"/>
          <w:sz w:val="32"/>
          <w:szCs w:val="32"/>
          <w:lang w:val="en-US" w:eastAsia="zh-CN"/>
        </w:rPr>
        <w:t>48.69</w:t>
      </w:r>
      <w:r>
        <w:rPr>
          <w:rFonts w:hint="eastAsia" w:ascii="仿宋" w:hAnsi="仿宋" w:eastAsia="仿宋"/>
          <w:sz w:val="32"/>
          <w:szCs w:val="32"/>
        </w:rPr>
        <w:t>万元，决算数为</w:t>
      </w:r>
      <w:r>
        <w:rPr>
          <w:rFonts w:hint="eastAsia" w:ascii="仿宋" w:hAnsi="仿宋" w:eastAsia="仿宋"/>
          <w:sz w:val="32"/>
          <w:szCs w:val="32"/>
          <w:lang w:val="en-US" w:eastAsia="zh-CN"/>
        </w:rPr>
        <w:t>48.69</w:t>
      </w:r>
      <w:r>
        <w:rPr>
          <w:rFonts w:hint="eastAsia" w:ascii="仿宋" w:hAnsi="仿宋" w:eastAsia="仿宋"/>
          <w:sz w:val="32"/>
          <w:szCs w:val="32"/>
        </w:rPr>
        <w:t>万元，完成年初预算的</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主要原因是：按预算执行。</w:t>
      </w:r>
    </w:p>
    <w:p w14:paraId="371BC053">
      <w:pPr>
        <w:ind w:firstLine="630"/>
        <w:jc w:val="left"/>
        <w:rPr>
          <w:rFonts w:hint="default" w:ascii="仿宋" w:hAnsi="仿宋" w:eastAsia="仿宋"/>
          <w:sz w:val="32"/>
          <w:szCs w:val="32"/>
          <w:lang w:val="en-US" w:eastAsia="zh-CN"/>
        </w:rPr>
      </w:pPr>
      <w:r>
        <w:rPr>
          <w:rFonts w:hint="eastAsia" w:ascii="仿宋" w:hAnsi="仿宋" w:eastAsia="仿宋"/>
          <w:sz w:val="32"/>
          <w:szCs w:val="32"/>
          <w:lang w:val="en-US" w:eastAsia="zh-CN"/>
        </w:rPr>
        <w:t>（三）住房保障支出年初预算数为59.4万元，决算数为59.4万元，完成年初预算的100%，主要原因是：按预算执行。</w:t>
      </w:r>
    </w:p>
    <w:p w14:paraId="3925A697">
      <w:pPr>
        <w:pStyle w:val="9"/>
        <w:rPr>
          <w:rFonts w:hint="default"/>
          <w:sz w:val="22"/>
          <w:szCs w:val="22"/>
          <w:lang w:val="en-US" w:eastAsia="zh-CN"/>
        </w:rPr>
      </w:pPr>
      <w:r>
        <w:rPr>
          <w:rFonts w:hint="eastAsia" w:ascii="仿宋" w:hAnsi="仿宋" w:eastAsia="仿宋"/>
          <w:sz w:val="32"/>
          <w:szCs w:val="32"/>
          <w:lang w:val="en-US" w:eastAsia="zh-CN"/>
        </w:rPr>
        <w:t xml:space="preserve">    （四）城乡社区支出年初预算数为0万元，决算数为3801.54万元，主要原因是：景德镇市退役军人事务局本级新增瓷都烈士陵园综合改造项目。</w:t>
      </w:r>
    </w:p>
    <w:p w14:paraId="54EC14E6">
      <w:pPr>
        <w:ind w:firstLine="585"/>
        <w:jc w:val="left"/>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132A33C5">
      <w:pPr>
        <w:ind w:firstLine="585"/>
        <w:jc w:val="left"/>
        <w:rPr>
          <w:rFonts w:hint="eastAsia" w:ascii="仿宋" w:hAnsi="仿宋" w:eastAsia="仿宋"/>
          <w:sz w:val="32"/>
          <w:szCs w:val="32"/>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年度一般公共预算财政拨款基本支出</w:t>
      </w:r>
      <w:r>
        <w:rPr>
          <w:rFonts w:hint="eastAsia" w:ascii="仿宋" w:hAnsi="仿宋" w:eastAsia="仿宋"/>
          <w:sz w:val="32"/>
          <w:szCs w:val="32"/>
          <w:lang w:val="en-US" w:eastAsia="zh-CN"/>
        </w:rPr>
        <w:t>932.47</w:t>
      </w:r>
      <w:r>
        <w:rPr>
          <w:rFonts w:hint="eastAsia" w:ascii="仿宋" w:hAnsi="仿宋" w:eastAsia="仿宋"/>
          <w:sz w:val="32"/>
          <w:szCs w:val="32"/>
        </w:rPr>
        <w:t>万元，其中：</w:t>
      </w:r>
    </w:p>
    <w:p w14:paraId="2ECA7FD5">
      <w:pPr>
        <w:numPr>
          <w:ilvl w:val="0"/>
          <w:numId w:val="1"/>
        </w:numPr>
        <w:ind w:firstLine="585"/>
        <w:jc w:val="left"/>
        <w:rPr>
          <w:rFonts w:hint="eastAsia" w:ascii="仿宋" w:hAnsi="仿宋" w:eastAsia="仿宋"/>
          <w:sz w:val="32"/>
          <w:szCs w:val="32"/>
          <w:lang w:val="en-US" w:eastAsia="zh-CN"/>
        </w:rPr>
      </w:pPr>
      <w:r>
        <w:rPr>
          <w:rFonts w:hint="eastAsia" w:ascii="仿宋" w:hAnsi="仿宋" w:eastAsia="仿宋"/>
          <w:sz w:val="32"/>
          <w:szCs w:val="32"/>
        </w:rPr>
        <w:t>工资福利支出</w:t>
      </w:r>
      <w:r>
        <w:rPr>
          <w:rFonts w:hint="eastAsia" w:ascii="仿宋" w:hAnsi="仿宋" w:eastAsia="仿宋"/>
          <w:sz w:val="32"/>
          <w:szCs w:val="32"/>
          <w:lang w:val="en-US" w:eastAsia="zh-CN"/>
        </w:rPr>
        <w:t>787.79</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年增加</w:t>
      </w:r>
      <w:r>
        <w:rPr>
          <w:rFonts w:hint="eastAsia" w:ascii="仿宋" w:hAnsi="仿宋" w:eastAsia="仿宋"/>
          <w:sz w:val="32"/>
          <w:szCs w:val="32"/>
          <w:lang w:val="en-US" w:eastAsia="zh-CN"/>
        </w:rPr>
        <w:t>2.25</w:t>
      </w:r>
      <w:r>
        <w:rPr>
          <w:rFonts w:hint="eastAsia" w:ascii="仿宋" w:hAnsi="仿宋" w:eastAsia="仿宋"/>
          <w:sz w:val="32"/>
          <w:szCs w:val="32"/>
        </w:rPr>
        <w:t>万元，增长</w:t>
      </w:r>
      <w:r>
        <w:rPr>
          <w:rFonts w:hint="eastAsia" w:ascii="仿宋" w:hAnsi="仿宋" w:eastAsia="仿宋"/>
          <w:sz w:val="32"/>
          <w:szCs w:val="32"/>
          <w:lang w:val="en-US" w:eastAsia="zh-CN"/>
        </w:rPr>
        <w:t>0.3</w:t>
      </w:r>
      <w:r>
        <w:rPr>
          <w:rFonts w:hint="eastAsia" w:ascii="仿宋" w:hAnsi="仿宋" w:eastAsia="仿宋"/>
          <w:sz w:val="32"/>
          <w:szCs w:val="32"/>
        </w:rPr>
        <w:t>%，主要原因是：</w:t>
      </w:r>
      <w:r>
        <w:rPr>
          <w:rFonts w:hint="eastAsia" w:ascii="仿宋" w:hAnsi="仿宋" w:eastAsia="仿宋"/>
          <w:sz w:val="32"/>
          <w:szCs w:val="32"/>
          <w:lang w:val="en-US" w:eastAsia="zh-CN"/>
        </w:rPr>
        <w:t>各单位职工工资正常晋级晋档及普调工资。</w:t>
      </w:r>
    </w:p>
    <w:p w14:paraId="073F8329">
      <w:pPr>
        <w:numPr>
          <w:ilvl w:val="0"/>
          <w:numId w:val="0"/>
        </w:numPr>
        <w:ind w:firstLine="640" w:firstLineChars="200"/>
        <w:jc w:val="left"/>
        <w:rPr>
          <w:rFonts w:hint="eastAsia" w:ascii="仿宋" w:hAnsi="仿宋" w:eastAsia="仿宋"/>
          <w:sz w:val="32"/>
          <w:szCs w:val="32"/>
        </w:rPr>
      </w:pPr>
      <w:r>
        <w:rPr>
          <w:rFonts w:hint="eastAsia" w:ascii="仿宋" w:hAnsi="仿宋" w:eastAsia="仿宋"/>
          <w:sz w:val="32"/>
          <w:szCs w:val="32"/>
        </w:rPr>
        <w:t>（二）商品和服务支出</w:t>
      </w:r>
      <w:r>
        <w:rPr>
          <w:rFonts w:hint="eastAsia" w:ascii="仿宋" w:hAnsi="仿宋" w:eastAsia="仿宋"/>
          <w:sz w:val="32"/>
          <w:szCs w:val="32"/>
          <w:lang w:val="en-US" w:eastAsia="zh-CN"/>
        </w:rPr>
        <w:t>130.69</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减少27.17</w:t>
      </w:r>
      <w:r>
        <w:rPr>
          <w:rFonts w:hint="eastAsia" w:ascii="仿宋" w:hAnsi="仿宋" w:eastAsia="仿宋"/>
          <w:sz w:val="32"/>
          <w:szCs w:val="32"/>
        </w:rPr>
        <w:t>万元，</w:t>
      </w:r>
      <w:r>
        <w:rPr>
          <w:rFonts w:hint="eastAsia" w:ascii="仿宋" w:hAnsi="仿宋" w:eastAsia="仿宋"/>
          <w:sz w:val="32"/>
          <w:szCs w:val="32"/>
          <w:lang w:val="en-US" w:eastAsia="zh-CN"/>
        </w:rPr>
        <w:t>下降17.2</w:t>
      </w:r>
      <w:r>
        <w:rPr>
          <w:rFonts w:hint="eastAsia" w:ascii="仿宋" w:hAnsi="仿宋" w:eastAsia="仿宋"/>
          <w:sz w:val="32"/>
          <w:szCs w:val="32"/>
        </w:rPr>
        <w:t>%，主要原因是：</w:t>
      </w:r>
      <w:r>
        <w:rPr>
          <w:rFonts w:hint="eastAsia" w:ascii="仿宋" w:hAnsi="仿宋" w:eastAsia="仿宋"/>
          <w:sz w:val="32"/>
          <w:szCs w:val="32"/>
          <w:lang w:val="en-US" w:eastAsia="zh-CN"/>
        </w:rPr>
        <w:t>缩减日常开支</w:t>
      </w:r>
      <w:r>
        <w:rPr>
          <w:rFonts w:hint="eastAsia" w:ascii="仿宋" w:hAnsi="仿宋" w:eastAsia="仿宋"/>
          <w:sz w:val="32"/>
          <w:szCs w:val="32"/>
        </w:rPr>
        <w:t>。</w:t>
      </w:r>
    </w:p>
    <w:p w14:paraId="5416C439">
      <w:pPr>
        <w:ind w:firstLine="585"/>
        <w:jc w:val="left"/>
        <w:rPr>
          <w:rFonts w:hint="eastAsia" w:ascii="仿宋" w:hAnsi="仿宋" w:eastAsia="仿宋"/>
          <w:sz w:val="32"/>
          <w:szCs w:val="32"/>
          <w:lang w:val="en-US" w:eastAsia="zh-CN"/>
        </w:rPr>
      </w:pPr>
      <w:r>
        <w:rPr>
          <w:rFonts w:hint="eastAsia" w:ascii="仿宋" w:hAnsi="仿宋" w:eastAsia="仿宋"/>
          <w:sz w:val="32"/>
          <w:szCs w:val="32"/>
        </w:rPr>
        <w:t>（三）对个人和家庭补助支出</w:t>
      </w:r>
      <w:r>
        <w:rPr>
          <w:rFonts w:hint="eastAsia" w:ascii="仿宋" w:hAnsi="仿宋" w:eastAsia="仿宋"/>
          <w:sz w:val="32"/>
          <w:szCs w:val="32"/>
          <w:lang w:val="en-US" w:eastAsia="zh-CN"/>
        </w:rPr>
        <w:t>7.67</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减少2.75</w:t>
      </w:r>
      <w:r>
        <w:rPr>
          <w:rFonts w:hint="eastAsia" w:ascii="仿宋" w:hAnsi="仿宋" w:eastAsia="仿宋"/>
          <w:sz w:val="32"/>
          <w:szCs w:val="32"/>
        </w:rPr>
        <w:t>万元，</w:t>
      </w:r>
      <w:r>
        <w:rPr>
          <w:rFonts w:hint="eastAsia" w:ascii="仿宋" w:hAnsi="仿宋" w:eastAsia="仿宋"/>
          <w:sz w:val="32"/>
          <w:szCs w:val="32"/>
          <w:lang w:val="en-US" w:eastAsia="zh-CN"/>
        </w:rPr>
        <w:t>下降26.4</w:t>
      </w:r>
      <w:r>
        <w:rPr>
          <w:rFonts w:hint="eastAsia" w:ascii="仿宋" w:hAnsi="仿宋" w:eastAsia="仿宋"/>
          <w:sz w:val="32"/>
          <w:szCs w:val="32"/>
        </w:rPr>
        <w:t>%，主要原因是：</w:t>
      </w:r>
      <w:r>
        <w:rPr>
          <w:rFonts w:hint="eastAsia" w:ascii="仿宋" w:hAnsi="仿宋" w:eastAsia="仿宋"/>
          <w:sz w:val="32"/>
          <w:szCs w:val="32"/>
          <w:lang w:val="en-US" w:eastAsia="zh-CN"/>
        </w:rPr>
        <w:t>景德镇军供站减少相关支出。</w:t>
      </w:r>
    </w:p>
    <w:p w14:paraId="0A693010">
      <w:pPr>
        <w:ind w:firstLine="585"/>
        <w:jc w:val="left"/>
        <w:rPr>
          <w:rFonts w:hint="eastAsia" w:ascii="仿宋" w:hAnsi="仿宋" w:eastAsia="仿宋"/>
          <w:sz w:val="32"/>
          <w:szCs w:val="32"/>
        </w:rPr>
      </w:pPr>
      <w:r>
        <w:rPr>
          <w:rFonts w:hint="eastAsia" w:ascii="仿宋" w:hAnsi="仿宋" w:eastAsia="仿宋"/>
          <w:sz w:val="32"/>
          <w:szCs w:val="32"/>
        </w:rPr>
        <w:t>（四）资本性支出</w:t>
      </w:r>
      <w:r>
        <w:rPr>
          <w:rFonts w:hint="eastAsia" w:ascii="仿宋" w:hAnsi="仿宋" w:eastAsia="仿宋"/>
          <w:sz w:val="32"/>
          <w:szCs w:val="32"/>
          <w:lang w:val="en-US" w:eastAsia="zh-CN"/>
        </w:rPr>
        <w:t>6.32</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增加6.32</w:t>
      </w:r>
      <w:r>
        <w:rPr>
          <w:rFonts w:hint="eastAsia" w:ascii="仿宋" w:hAnsi="仿宋" w:eastAsia="仿宋"/>
          <w:sz w:val="32"/>
          <w:szCs w:val="32"/>
        </w:rPr>
        <w:t>万元，</w:t>
      </w:r>
      <w:r>
        <w:rPr>
          <w:rFonts w:hint="eastAsia" w:ascii="仿宋" w:hAnsi="仿宋" w:eastAsia="仿宋"/>
          <w:sz w:val="32"/>
          <w:szCs w:val="32"/>
          <w:lang w:val="en-US" w:eastAsia="zh-CN"/>
        </w:rPr>
        <w:t>下降100%，</w:t>
      </w:r>
      <w:r>
        <w:rPr>
          <w:rFonts w:hint="eastAsia" w:ascii="仿宋" w:hAnsi="仿宋" w:eastAsia="仿宋"/>
          <w:sz w:val="32"/>
          <w:szCs w:val="32"/>
        </w:rPr>
        <w:t>主要原因是：</w:t>
      </w:r>
      <w:r>
        <w:rPr>
          <w:rFonts w:hint="eastAsia" w:ascii="仿宋" w:hAnsi="仿宋" w:eastAsia="仿宋"/>
          <w:sz w:val="32"/>
          <w:szCs w:val="32"/>
          <w:lang w:val="en-US" w:eastAsia="zh-CN"/>
        </w:rPr>
        <w:t>本级及下属单位均产生办公设备购置支出。</w:t>
      </w:r>
    </w:p>
    <w:p w14:paraId="10073142">
      <w:pPr>
        <w:ind w:firstLine="630"/>
        <w:jc w:val="left"/>
        <w:rPr>
          <w:rFonts w:hint="eastAsia" w:ascii="黑体" w:hAnsi="黑体" w:eastAsia="黑体"/>
          <w:color w:val="auto"/>
          <w:sz w:val="32"/>
          <w:szCs w:val="32"/>
        </w:rPr>
      </w:pPr>
      <w:r>
        <w:rPr>
          <w:rFonts w:hint="eastAsia" w:ascii="黑体" w:hAnsi="黑体" w:eastAsia="黑体"/>
          <w:sz w:val="32"/>
          <w:szCs w:val="32"/>
        </w:rPr>
        <w:t>五、</w:t>
      </w:r>
      <w:r>
        <w:rPr>
          <w:rFonts w:hint="eastAsia" w:ascii="黑体" w:hAnsi="黑体" w:eastAsia="黑体"/>
          <w:color w:val="auto"/>
          <w:sz w:val="32"/>
          <w:szCs w:val="32"/>
        </w:rPr>
        <w:t>财政拨款“三公”经费支出决算情况说明</w:t>
      </w:r>
    </w:p>
    <w:p w14:paraId="2235ECCA">
      <w:pPr>
        <w:ind w:firstLine="630"/>
        <w:jc w:val="left"/>
        <w:rPr>
          <w:rFonts w:hint="eastAsia" w:ascii="仿宋" w:hAnsi="仿宋" w:eastAsia="仿宋"/>
          <w:sz w:val="32"/>
          <w:szCs w:val="32"/>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年度财政拨款“三公”经费支出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2.56</w:t>
      </w:r>
      <w:r>
        <w:rPr>
          <w:rFonts w:hint="eastAsia" w:ascii="仿宋" w:hAnsi="仿宋" w:eastAsia="仿宋"/>
          <w:sz w:val="32"/>
          <w:szCs w:val="32"/>
        </w:rPr>
        <w:t>万元，决算数为</w:t>
      </w:r>
      <w:r>
        <w:rPr>
          <w:rFonts w:hint="eastAsia" w:ascii="仿宋" w:hAnsi="仿宋" w:eastAsia="仿宋"/>
          <w:sz w:val="32"/>
          <w:szCs w:val="32"/>
          <w:lang w:val="en-US" w:eastAsia="zh-CN"/>
        </w:rPr>
        <w:t>2.56</w:t>
      </w:r>
      <w:r>
        <w:rPr>
          <w:rFonts w:hint="eastAsia" w:ascii="仿宋" w:hAnsi="仿宋" w:eastAsia="仿宋"/>
          <w:sz w:val="32"/>
          <w:szCs w:val="32"/>
        </w:rPr>
        <w:t>万元，完成</w:t>
      </w:r>
      <w:r>
        <w:rPr>
          <w:rFonts w:hint="eastAsia" w:ascii="仿宋" w:hAnsi="仿宋" w:eastAsia="仿宋"/>
          <w:sz w:val="32"/>
          <w:szCs w:val="32"/>
          <w:lang w:val="en-US" w:eastAsia="zh-CN"/>
        </w:rPr>
        <w:t>全年</w:t>
      </w:r>
      <w:r>
        <w:rPr>
          <w:rFonts w:hint="eastAsia" w:ascii="仿宋" w:hAnsi="仿宋" w:eastAsia="仿宋"/>
          <w:sz w:val="32"/>
          <w:szCs w:val="32"/>
        </w:rPr>
        <w:t>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减少0.2</w:t>
      </w:r>
      <w:r>
        <w:rPr>
          <w:rFonts w:hint="eastAsia" w:ascii="仿宋" w:hAnsi="仿宋" w:eastAsia="仿宋"/>
          <w:sz w:val="32"/>
          <w:szCs w:val="32"/>
        </w:rPr>
        <w:t>万元，</w:t>
      </w:r>
      <w:r>
        <w:rPr>
          <w:rFonts w:hint="eastAsia" w:ascii="仿宋" w:hAnsi="仿宋" w:eastAsia="仿宋"/>
          <w:sz w:val="32"/>
          <w:szCs w:val="32"/>
          <w:lang w:val="en-US" w:eastAsia="zh-CN"/>
        </w:rPr>
        <w:t>下降7.3</w:t>
      </w:r>
      <w:r>
        <w:rPr>
          <w:rFonts w:hint="eastAsia" w:ascii="仿宋" w:hAnsi="仿宋" w:eastAsia="仿宋"/>
          <w:sz w:val="32"/>
          <w:szCs w:val="32"/>
        </w:rPr>
        <w:t>%，其中：</w:t>
      </w:r>
    </w:p>
    <w:p w14:paraId="704E1529">
      <w:pPr>
        <w:ind w:firstLine="630"/>
        <w:jc w:val="left"/>
        <w:rPr>
          <w:rFonts w:hint="default" w:ascii="仿宋" w:hAnsi="仿宋" w:eastAsia="仿宋"/>
          <w:sz w:val="32"/>
          <w:szCs w:val="32"/>
          <w:lang w:val="en-US"/>
        </w:rPr>
      </w:pPr>
      <w:r>
        <w:rPr>
          <w:rFonts w:hint="eastAsia" w:ascii="仿宋" w:hAnsi="仿宋" w:eastAsia="仿宋"/>
          <w:sz w:val="32"/>
          <w:szCs w:val="32"/>
        </w:rPr>
        <w:t>（一）因公出国（境）支出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w:t>
      </w:r>
      <w:r>
        <w:rPr>
          <w:rFonts w:hint="eastAsia" w:ascii="仿宋" w:hAnsi="仿宋" w:eastAsia="仿宋"/>
          <w:sz w:val="32"/>
          <w:szCs w:val="32"/>
        </w:rPr>
        <w:t>万元，决算数为</w:t>
      </w:r>
      <w:r>
        <w:rPr>
          <w:rFonts w:hint="eastAsia" w:ascii="仿宋" w:hAnsi="仿宋" w:eastAsia="仿宋"/>
          <w:sz w:val="32"/>
          <w:szCs w:val="32"/>
          <w:lang w:val="en-US" w:eastAsia="zh-CN"/>
        </w:rPr>
        <w:t>0</w:t>
      </w:r>
      <w:r>
        <w:rPr>
          <w:rFonts w:hint="eastAsia" w:ascii="仿宋" w:hAnsi="仿宋" w:eastAsia="仿宋"/>
          <w:sz w:val="32"/>
          <w:szCs w:val="32"/>
        </w:rPr>
        <w:t>万元，完成</w:t>
      </w:r>
      <w:r>
        <w:rPr>
          <w:rFonts w:hint="eastAsia" w:ascii="仿宋" w:hAnsi="仿宋" w:eastAsia="仿宋"/>
          <w:sz w:val="32"/>
          <w:szCs w:val="32"/>
          <w:lang w:val="en-US" w:eastAsia="zh-CN"/>
        </w:rPr>
        <w:t>全年</w:t>
      </w:r>
      <w:r>
        <w:rPr>
          <w:rFonts w:hint="eastAsia" w:ascii="仿宋" w:hAnsi="仿宋" w:eastAsia="仿宋"/>
          <w:sz w:val="32"/>
          <w:szCs w:val="32"/>
        </w:rPr>
        <w:t>预算的</w:t>
      </w:r>
      <w:r>
        <w:rPr>
          <w:rFonts w:hint="eastAsia" w:ascii="仿宋" w:hAnsi="仿宋" w:eastAsia="仿宋"/>
          <w:sz w:val="32"/>
          <w:szCs w:val="32"/>
          <w:lang w:val="en-US" w:eastAsia="zh-CN"/>
        </w:rPr>
        <w:t>0</w:t>
      </w:r>
      <w:r>
        <w:rPr>
          <w:rFonts w:hint="eastAsia" w:ascii="仿宋" w:hAnsi="仿宋" w:eastAsia="仿宋"/>
          <w:sz w:val="32"/>
          <w:szCs w:val="32"/>
        </w:rPr>
        <w:t xml:space="preserve"> %，决算数较</w:t>
      </w:r>
      <w:r>
        <w:rPr>
          <w:rFonts w:hint="eastAsia" w:ascii="仿宋" w:hAnsi="仿宋" w:eastAsia="仿宋"/>
          <w:sz w:val="32"/>
          <w:szCs w:val="32"/>
          <w:lang w:eastAsia="zh-CN"/>
        </w:rPr>
        <w:t>2021</w:t>
      </w:r>
      <w:r>
        <w:rPr>
          <w:rFonts w:hint="eastAsia" w:ascii="仿宋" w:hAnsi="仿宋" w:eastAsia="仿宋"/>
          <w:sz w:val="32"/>
          <w:szCs w:val="32"/>
        </w:rPr>
        <w:t>年增加（减少）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13CD4761">
      <w:pPr>
        <w:ind w:firstLine="630"/>
        <w:jc w:val="left"/>
        <w:rPr>
          <w:rFonts w:hint="default" w:ascii="仿宋" w:hAnsi="仿宋" w:eastAsia="仿宋"/>
          <w:sz w:val="32"/>
          <w:szCs w:val="32"/>
          <w:lang w:val="en-US" w:eastAsia="zh-CN"/>
        </w:rPr>
      </w:pPr>
      <w:r>
        <w:rPr>
          <w:rFonts w:hint="eastAsia" w:ascii="仿宋" w:hAnsi="仿宋" w:eastAsia="仿宋"/>
          <w:sz w:val="32"/>
          <w:szCs w:val="32"/>
        </w:rPr>
        <w:t>（二）公务接待费支出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0.36</w:t>
      </w:r>
      <w:r>
        <w:rPr>
          <w:rFonts w:hint="eastAsia" w:ascii="仿宋" w:hAnsi="仿宋" w:eastAsia="仿宋"/>
          <w:sz w:val="32"/>
          <w:szCs w:val="32"/>
        </w:rPr>
        <w:t>万元，决算数为</w:t>
      </w:r>
      <w:r>
        <w:rPr>
          <w:rFonts w:hint="eastAsia" w:ascii="仿宋" w:hAnsi="仿宋" w:eastAsia="仿宋"/>
          <w:sz w:val="32"/>
          <w:szCs w:val="32"/>
          <w:lang w:val="en-US" w:eastAsia="zh-CN"/>
        </w:rPr>
        <w:t>0.36</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减少0.91</w:t>
      </w:r>
      <w:r>
        <w:rPr>
          <w:rFonts w:hint="eastAsia" w:ascii="仿宋" w:hAnsi="仿宋" w:eastAsia="仿宋"/>
          <w:sz w:val="32"/>
          <w:szCs w:val="32"/>
        </w:rPr>
        <w:t>万元，</w:t>
      </w:r>
      <w:r>
        <w:rPr>
          <w:rFonts w:hint="eastAsia" w:ascii="仿宋" w:hAnsi="仿宋" w:eastAsia="仿宋"/>
          <w:sz w:val="32"/>
          <w:szCs w:val="32"/>
          <w:lang w:val="en-US" w:eastAsia="zh-CN"/>
        </w:rPr>
        <w:t>下降71.7</w:t>
      </w:r>
      <w:r>
        <w:rPr>
          <w:rFonts w:hint="eastAsia" w:ascii="仿宋" w:hAnsi="仿宋" w:eastAsia="仿宋"/>
          <w:sz w:val="32"/>
          <w:szCs w:val="32"/>
        </w:rPr>
        <w:t xml:space="preserve"> %</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rPr>
        <w:t>主要原因是：疫情影响，减少公务接待</w:t>
      </w:r>
      <w:r>
        <w:rPr>
          <w:rFonts w:hint="eastAsia" w:ascii="仿宋" w:hAnsi="仿宋" w:eastAsia="仿宋"/>
          <w:sz w:val="32"/>
          <w:szCs w:val="32"/>
        </w:rPr>
        <w:t>。决算数较</w:t>
      </w:r>
      <w:r>
        <w:rPr>
          <w:rFonts w:hint="eastAsia" w:ascii="仿宋" w:hAnsi="仿宋" w:eastAsia="仿宋"/>
          <w:sz w:val="32"/>
          <w:szCs w:val="32"/>
          <w:lang w:val="en-US" w:eastAsia="zh-CN"/>
        </w:rPr>
        <w:t>全年</w:t>
      </w:r>
      <w:r>
        <w:rPr>
          <w:rFonts w:hint="eastAsia" w:ascii="仿宋" w:hAnsi="仿宋" w:eastAsia="仿宋"/>
          <w:sz w:val="32"/>
          <w:szCs w:val="32"/>
        </w:rPr>
        <w:t>预算数</w:t>
      </w:r>
      <w:r>
        <w:rPr>
          <w:rFonts w:hint="eastAsia" w:ascii="仿宋" w:hAnsi="仿宋" w:eastAsia="仿宋"/>
          <w:sz w:val="32"/>
          <w:szCs w:val="32"/>
          <w:lang w:val="en-US" w:eastAsia="zh-CN"/>
        </w:rPr>
        <w:t>无增减变动</w:t>
      </w:r>
      <w:r>
        <w:rPr>
          <w:rFonts w:hint="eastAsia" w:ascii="仿宋" w:hAnsi="仿宋" w:eastAsia="仿宋"/>
          <w:sz w:val="32"/>
          <w:szCs w:val="32"/>
        </w:rPr>
        <w:t>。</w:t>
      </w:r>
      <w:r>
        <w:rPr>
          <w:rFonts w:hint="eastAsia" w:ascii="仿宋" w:hAnsi="仿宋" w:eastAsia="仿宋"/>
          <w:sz w:val="32"/>
          <w:szCs w:val="32"/>
          <w:lang w:val="en-US" w:eastAsia="zh-CN"/>
        </w:rPr>
        <w:t>全年国内公务接待5批，累计接待18人次，其中外事接待0批，累计接待0人次</w:t>
      </w:r>
      <w:r>
        <w:rPr>
          <w:rFonts w:hint="eastAsia" w:ascii="仿宋" w:hAnsi="仿宋" w:eastAsia="仿宋"/>
          <w:sz w:val="32"/>
          <w:szCs w:val="32"/>
        </w:rPr>
        <w:t>。</w:t>
      </w:r>
    </w:p>
    <w:p w14:paraId="017B5E4A">
      <w:pPr>
        <w:ind w:firstLine="630"/>
        <w:jc w:val="left"/>
        <w:rPr>
          <w:rFonts w:hint="eastAsia" w:ascii="仿宋" w:hAnsi="仿宋" w:eastAsia="仿宋"/>
          <w:sz w:val="32"/>
          <w:szCs w:val="32"/>
          <w:lang w:val="en-US" w:eastAsia="zh-CN"/>
        </w:rPr>
      </w:pPr>
      <w:r>
        <w:rPr>
          <w:rFonts w:hint="eastAsia" w:ascii="仿宋" w:hAnsi="仿宋" w:eastAsia="仿宋"/>
          <w:sz w:val="32"/>
          <w:szCs w:val="32"/>
        </w:rPr>
        <w:t>（三）公务用车购置及运行维护费支出</w:t>
      </w:r>
      <w:r>
        <w:rPr>
          <w:rFonts w:hint="eastAsia" w:ascii="仿宋" w:hAnsi="仿宋" w:eastAsia="仿宋"/>
          <w:sz w:val="32"/>
          <w:szCs w:val="32"/>
          <w:lang w:val="en-US" w:eastAsia="zh-CN"/>
        </w:rPr>
        <w:t>2.21</w:t>
      </w:r>
      <w:r>
        <w:rPr>
          <w:rFonts w:hint="eastAsia" w:ascii="仿宋" w:hAnsi="仿宋" w:eastAsia="仿宋"/>
          <w:sz w:val="32"/>
          <w:szCs w:val="32"/>
        </w:rPr>
        <w:t>万元，其中公务用车购置</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w:t>
      </w:r>
      <w:r>
        <w:rPr>
          <w:rFonts w:hint="eastAsia" w:ascii="仿宋" w:hAnsi="仿宋" w:eastAsia="仿宋"/>
          <w:sz w:val="32"/>
          <w:szCs w:val="32"/>
        </w:rPr>
        <w:t>万元，决算数为</w:t>
      </w:r>
      <w:r>
        <w:rPr>
          <w:rFonts w:hint="eastAsia" w:ascii="仿宋" w:hAnsi="仿宋" w:eastAsia="仿宋"/>
          <w:sz w:val="32"/>
          <w:szCs w:val="32"/>
          <w:lang w:val="en-US" w:eastAsia="zh-CN"/>
        </w:rPr>
        <w:t>0</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 xml:space="preserve"> %，决算数较</w:t>
      </w:r>
      <w:r>
        <w:rPr>
          <w:rFonts w:hint="eastAsia" w:ascii="仿宋" w:hAnsi="仿宋" w:eastAsia="仿宋"/>
          <w:sz w:val="32"/>
          <w:szCs w:val="32"/>
          <w:lang w:eastAsia="zh-CN"/>
        </w:rPr>
        <w:t>2021</w:t>
      </w:r>
      <w:r>
        <w:rPr>
          <w:rFonts w:hint="eastAsia" w:ascii="仿宋" w:hAnsi="仿宋" w:eastAsia="仿宋"/>
          <w:sz w:val="32"/>
          <w:szCs w:val="32"/>
        </w:rPr>
        <w:t>年增加</w:t>
      </w:r>
      <w:r>
        <w:rPr>
          <w:rFonts w:hint="eastAsia" w:ascii="仿宋" w:hAnsi="仿宋" w:eastAsia="仿宋"/>
          <w:sz w:val="32"/>
          <w:szCs w:val="32"/>
          <w:lang w:val="en-US" w:eastAsia="zh-CN"/>
        </w:rPr>
        <w:t>0万元</w:t>
      </w:r>
      <w:r>
        <w:rPr>
          <w:rFonts w:hint="eastAsia" w:ascii="仿宋" w:hAnsi="仿宋" w:eastAsia="仿宋"/>
          <w:sz w:val="32"/>
          <w:szCs w:val="32"/>
        </w:rPr>
        <w:t>，增长</w:t>
      </w:r>
      <w:r>
        <w:rPr>
          <w:rFonts w:hint="eastAsia" w:ascii="仿宋" w:hAnsi="仿宋" w:eastAsia="仿宋"/>
          <w:sz w:val="32"/>
          <w:szCs w:val="32"/>
          <w:lang w:val="en-US" w:eastAsia="zh-CN"/>
        </w:rPr>
        <w:t>0</w:t>
      </w:r>
      <w:r>
        <w:rPr>
          <w:rFonts w:hint="eastAsia" w:ascii="仿宋" w:hAnsi="仿宋" w:eastAsia="仿宋"/>
          <w:sz w:val="32"/>
          <w:szCs w:val="32"/>
        </w:rPr>
        <w:t xml:space="preserve"> %</w:t>
      </w:r>
      <w:r>
        <w:rPr>
          <w:rFonts w:hint="eastAsia" w:ascii="仿宋" w:hAnsi="仿宋" w:eastAsia="仿宋"/>
          <w:sz w:val="32"/>
          <w:szCs w:val="32"/>
          <w:lang w:eastAsia="zh-CN"/>
        </w:rPr>
        <w:t>，</w:t>
      </w:r>
      <w:r>
        <w:rPr>
          <w:rFonts w:hint="eastAsia" w:ascii="仿宋" w:hAnsi="仿宋" w:eastAsia="仿宋"/>
          <w:sz w:val="32"/>
          <w:szCs w:val="32"/>
          <w:lang w:val="en-US" w:eastAsia="zh-CN"/>
        </w:rPr>
        <w:t>无增减变动，全年购置公务用车0辆。决算数较全年预算数无增减变动；</w:t>
      </w:r>
      <w:r>
        <w:rPr>
          <w:rFonts w:hint="eastAsia" w:ascii="仿宋" w:hAnsi="仿宋" w:eastAsia="仿宋"/>
          <w:sz w:val="32"/>
          <w:szCs w:val="32"/>
        </w:rPr>
        <w:t>公务用车运行维护费支出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2.21</w:t>
      </w:r>
      <w:r>
        <w:rPr>
          <w:rFonts w:hint="eastAsia" w:ascii="仿宋" w:hAnsi="仿宋" w:eastAsia="仿宋"/>
          <w:sz w:val="32"/>
          <w:szCs w:val="32"/>
        </w:rPr>
        <w:t>万元，决算数为</w:t>
      </w:r>
      <w:r>
        <w:rPr>
          <w:rFonts w:hint="eastAsia" w:ascii="仿宋" w:hAnsi="仿宋" w:eastAsia="仿宋"/>
          <w:sz w:val="32"/>
          <w:szCs w:val="32"/>
          <w:lang w:val="en-US" w:eastAsia="zh-CN"/>
        </w:rPr>
        <w:t>2.21</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年增</w:t>
      </w:r>
      <w:r>
        <w:rPr>
          <w:rFonts w:hint="eastAsia" w:ascii="仿宋" w:hAnsi="仿宋" w:eastAsia="仿宋"/>
          <w:sz w:val="32"/>
          <w:szCs w:val="32"/>
          <w:lang w:val="en-US" w:eastAsia="zh-CN"/>
        </w:rPr>
        <w:t>加0.72</w:t>
      </w:r>
      <w:r>
        <w:rPr>
          <w:rFonts w:hint="eastAsia" w:ascii="仿宋" w:hAnsi="仿宋" w:eastAsia="仿宋"/>
          <w:sz w:val="32"/>
          <w:szCs w:val="32"/>
        </w:rPr>
        <w:t>万元，</w:t>
      </w:r>
      <w:r>
        <w:rPr>
          <w:rFonts w:hint="eastAsia" w:ascii="仿宋" w:hAnsi="仿宋" w:eastAsia="仿宋"/>
          <w:sz w:val="32"/>
          <w:szCs w:val="32"/>
          <w:lang w:val="en-US" w:eastAsia="zh-CN"/>
        </w:rPr>
        <w:t>增长48.3</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rPr>
        <w:t>主要原因是景德镇军供站产生</w:t>
      </w:r>
      <w:r>
        <w:rPr>
          <w:rFonts w:hint="eastAsia" w:ascii="仿宋" w:hAnsi="仿宋" w:eastAsia="仿宋"/>
          <w:sz w:val="32"/>
          <w:szCs w:val="32"/>
          <w:lang w:val="en-US" w:eastAsia="zh-CN"/>
        </w:rPr>
        <w:t>正常范围内公车维修支出</w:t>
      </w:r>
      <w:r>
        <w:rPr>
          <w:rFonts w:hint="eastAsia" w:ascii="仿宋" w:hAnsi="仿宋" w:eastAsia="仿宋"/>
          <w:sz w:val="32"/>
          <w:szCs w:val="32"/>
          <w:lang w:eastAsia="zh-CN"/>
        </w:rPr>
        <w:t>，</w:t>
      </w:r>
      <w:r>
        <w:rPr>
          <w:rFonts w:hint="eastAsia" w:ascii="仿宋" w:hAnsi="仿宋" w:eastAsia="仿宋"/>
          <w:sz w:val="32"/>
          <w:szCs w:val="32"/>
          <w:lang w:val="en-US" w:eastAsia="zh-CN"/>
        </w:rPr>
        <w:t>年末公务用车保有2辆</w:t>
      </w:r>
      <w:r>
        <w:rPr>
          <w:rFonts w:hint="eastAsia" w:ascii="仿宋" w:hAnsi="仿宋" w:eastAsia="仿宋"/>
          <w:sz w:val="32"/>
          <w:szCs w:val="32"/>
        </w:rPr>
        <w:t>。决算数较</w:t>
      </w:r>
      <w:r>
        <w:rPr>
          <w:rFonts w:hint="eastAsia" w:ascii="仿宋" w:hAnsi="仿宋" w:eastAsia="仿宋"/>
          <w:sz w:val="32"/>
          <w:szCs w:val="32"/>
          <w:lang w:val="en-US" w:eastAsia="zh-CN"/>
        </w:rPr>
        <w:t>全年</w:t>
      </w:r>
      <w:r>
        <w:rPr>
          <w:rFonts w:hint="eastAsia" w:ascii="仿宋" w:hAnsi="仿宋" w:eastAsia="仿宋"/>
          <w:sz w:val="32"/>
          <w:szCs w:val="32"/>
        </w:rPr>
        <w:t>预算数</w:t>
      </w:r>
      <w:r>
        <w:rPr>
          <w:rFonts w:hint="eastAsia" w:ascii="仿宋" w:hAnsi="仿宋" w:eastAsia="仿宋"/>
          <w:sz w:val="32"/>
          <w:szCs w:val="32"/>
          <w:lang w:val="en-US" w:eastAsia="zh-CN"/>
        </w:rPr>
        <w:t>无增减变动。</w:t>
      </w:r>
    </w:p>
    <w:p w14:paraId="5CCB9F5E">
      <w:pPr>
        <w:ind w:firstLine="63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64348F0A">
      <w:pPr>
        <w:ind w:firstLine="630"/>
        <w:jc w:val="left"/>
        <w:rPr>
          <w:rFonts w:hint="eastAsia" w:ascii="仿宋" w:hAnsi="仿宋" w:eastAsia="仿宋"/>
          <w:sz w:val="32"/>
          <w:szCs w:val="32"/>
          <w:lang w:val="en-US" w:eastAsia="zh-CN"/>
        </w:rPr>
      </w:pPr>
      <w:r>
        <w:rPr>
          <w:rFonts w:hint="eastAsia" w:ascii="仿宋" w:hAnsi="仿宋" w:eastAsia="仿宋"/>
          <w:sz w:val="32"/>
          <w:szCs w:val="32"/>
        </w:rPr>
        <w:t>本部门</w:t>
      </w:r>
      <w:r>
        <w:rPr>
          <w:rFonts w:hint="eastAsia" w:ascii="仿宋" w:hAnsi="仿宋" w:eastAsia="仿宋"/>
          <w:sz w:val="32"/>
          <w:szCs w:val="32"/>
          <w:lang w:eastAsia="zh-CN"/>
        </w:rPr>
        <w:t>2022</w:t>
      </w:r>
      <w:r>
        <w:rPr>
          <w:rFonts w:hint="eastAsia" w:ascii="仿宋" w:hAnsi="仿宋" w:eastAsia="仿宋"/>
          <w:sz w:val="32"/>
          <w:szCs w:val="32"/>
        </w:rPr>
        <w:t>年度机关运行经费支出</w:t>
      </w:r>
      <w:r>
        <w:rPr>
          <w:rFonts w:hint="eastAsia" w:ascii="仿宋" w:hAnsi="仿宋" w:eastAsia="仿宋"/>
          <w:sz w:val="32"/>
          <w:szCs w:val="32"/>
          <w:lang w:val="en-US" w:eastAsia="zh-CN"/>
        </w:rPr>
        <w:t>130.7</w:t>
      </w:r>
      <w:r>
        <w:rPr>
          <w:rFonts w:hint="eastAsia" w:ascii="仿宋" w:hAnsi="仿宋" w:eastAsia="仿宋"/>
          <w:sz w:val="32"/>
          <w:szCs w:val="32"/>
        </w:rPr>
        <w:t>万元（与部门决算中行政单位和参照公务员法管理事业单位一般公共预算财政拨款基本支出中公用经费之和一致），较</w:t>
      </w:r>
      <w:r>
        <w:rPr>
          <w:rFonts w:hint="eastAsia" w:ascii="仿宋" w:hAnsi="仿宋" w:eastAsia="仿宋"/>
          <w:sz w:val="32"/>
          <w:szCs w:val="32"/>
          <w:lang w:val="en-US" w:eastAsia="zh-CN"/>
        </w:rPr>
        <w:t>上年决算数减少27.16</w:t>
      </w:r>
      <w:r>
        <w:rPr>
          <w:rFonts w:hint="eastAsia" w:ascii="仿宋" w:hAnsi="仿宋" w:eastAsia="仿宋"/>
          <w:sz w:val="32"/>
          <w:szCs w:val="32"/>
        </w:rPr>
        <w:t>万元，</w:t>
      </w:r>
      <w:r>
        <w:rPr>
          <w:rFonts w:hint="eastAsia" w:ascii="仿宋" w:hAnsi="仿宋" w:eastAsia="仿宋"/>
          <w:sz w:val="32"/>
          <w:szCs w:val="32"/>
          <w:lang w:val="en-US" w:eastAsia="zh-CN"/>
        </w:rPr>
        <w:t>下降17.2</w:t>
      </w:r>
      <w:r>
        <w:rPr>
          <w:rFonts w:hint="eastAsia" w:ascii="仿宋" w:hAnsi="仿宋" w:eastAsia="仿宋"/>
          <w:sz w:val="32"/>
          <w:szCs w:val="32"/>
        </w:rPr>
        <w:t>%，主要原因是：</w:t>
      </w:r>
      <w:r>
        <w:rPr>
          <w:rFonts w:hint="eastAsia" w:ascii="仿宋" w:hAnsi="仿宋" w:eastAsia="仿宋"/>
          <w:sz w:val="32"/>
          <w:szCs w:val="32"/>
          <w:lang w:val="en-US" w:eastAsia="zh-CN"/>
        </w:rPr>
        <w:t>落实过紧日子压减公用经费支出。</w:t>
      </w:r>
    </w:p>
    <w:p w14:paraId="6803DEBC">
      <w:pPr>
        <w:ind w:firstLine="630"/>
        <w:jc w:val="left"/>
        <w:rPr>
          <w:rFonts w:ascii="黑体" w:hAnsi="黑体" w:eastAsia="黑体"/>
          <w:sz w:val="32"/>
          <w:szCs w:val="32"/>
        </w:rPr>
      </w:pPr>
      <w:r>
        <w:rPr>
          <w:rFonts w:hint="eastAsia" w:ascii="黑体" w:hAnsi="黑体" w:eastAsia="黑体"/>
          <w:sz w:val="32"/>
          <w:szCs w:val="32"/>
        </w:rPr>
        <w:t>七、政府采购支出情况说明</w:t>
      </w:r>
    </w:p>
    <w:p w14:paraId="046A7920">
      <w:pPr>
        <w:pStyle w:val="10"/>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本部门202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年度政府采购支出总额</w:t>
      </w:r>
      <w:r>
        <w:rPr>
          <w:rFonts w:hint="eastAsia" w:ascii="仿宋_GB2312" w:hAnsi="仿宋_GB2312" w:eastAsia="仿宋_GB2312"/>
          <w:color w:val="auto"/>
          <w:sz w:val="32"/>
          <w:szCs w:val="32"/>
          <w:lang w:val="en-US" w:eastAsia="zh-CN"/>
        </w:rPr>
        <w:t>6.19</w:t>
      </w:r>
      <w:r>
        <w:rPr>
          <w:rFonts w:hint="eastAsia" w:ascii="仿宋_GB2312" w:hAnsi="仿宋_GB2312" w:eastAsia="仿宋_GB2312"/>
          <w:color w:val="auto"/>
          <w:sz w:val="32"/>
          <w:szCs w:val="32"/>
        </w:rPr>
        <w:t>万元，其中：政府采购货物支出</w:t>
      </w:r>
      <w:r>
        <w:rPr>
          <w:rFonts w:hint="eastAsia" w:ascii="仿宋_GB2312" w:hAnsi="仿宋_GB2312" w:eastAsia="仿宋_GB2312"/>
          <w:color w:val="auto"/>
          <w:sz w:val="32"/>
          <w:szCs w:val="32"/>
          <w:lang w:val="en-US" w:eastAsia="zh-CN"/>
        </w:rPr>
        <w:t>6.19</w:t>
      </w:r>
      <w:r>
        <w:rPr>
          <w:rFonts w:hint="eastAsia" w:ascii="仿宋_GB2312" w:hAnsi="仿宋_GB2312" w:eastAsia="仿宋_GB2312"/>
          <w:color w:val="auto"/>
          <w:sz w:val="32"/>
          <w:szCs w:val="32"/>
        </w:rPr>
        <w:t>万元、政府采购工程支出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万元、政府采购服务支出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万元。授予中小企业合同金额</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万元，占政府采购支出总额的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%，其中：授予小微企业合同金额  万元，占授予中小企业合同金额的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；货物采购授予中小企业合同金额占货物支出金额的0%，工程采购授予中小企业合同金额占工程支出金额的0%，服务采购授予中小企业合同金额占服务支出金额的0%。</w:t>
      </w:r>
    </w:p>
    <w:p w14:paraId="4F934DA7">
      <w:pPr>
        <w:ind w:firstLine="630"/>
        <w:jc w:val="left"/>
        <w:rPr>
          <w:rFonts w:hint="eastAsia" w:ascii="黑体" w:hAnsi="黑体" w:eastAsia="黑体"/>
          <w:sz w:val="32"/>
          <w:szCs w:val="32"/>
        </w:rPr>
      </w:pPr>
      <w:r>
        <w:rPr>
          <w:rFonts w:hint="eastAsia" w:ascii="黑体" w:hAnsi="黑体" w:eastAsia="黑体"/>
          <w:sz w:val="32"/>
          <w:szCs w:val="32"/>
        </w:rPr>
        <w:t>八、国有资产占用情况说明。</w:t>
      </w:r>
    </w:p>
    <w:p w14:paraId="5F4EDED2">
      <w:pPr>
        <w:ind w:firstLine="630"/>
        <w:jc w:val="left"/>
        <w:rPr>
          <w:rFonts w:hint="eastAsia" w:ascii="仿宋" w:hAnsi="仿宋" w:eastAsia="仿宋"/>
          <w:kern w:val="0"/>
          <w:sz w:val="32"/>
          <w:szCs w:val="32"/>
        </w:rPr>
      </w:pPr>
      <w:r>
        <w:rPr>
          <w:rFonts w:hint="eastAsia" w:ascii="仿宋" w:hAnsi="仿宋" w:eastAsia="仿宋"/>
          <w:kern w:val="0"/>
          <w:sz w:val="32"/>
          <w:szCs w:val="32"/>
        </w:rPr>
        <w:t>截</w:t>
      </w:r>
      <w:r>
        <w:rPr>
          <w:rFonts w:hint="eastAsia" w:ascii="仿宋" w:hAnsi="仿宋" w:eastAsia="仿宋"/>
          <w:kern w:val="0"/>
          <w:sz w:val="32"/>
          <w:szCs w:val="32"/>
          <w:lang w:val="en-US" w:eastAsia="zh-CN"/>
        </w:rPr>
        <w:t>至</w:t>
      </w:r>
      <w:r>
        <w:rPr>
          <w:rFonts w:hint="eastAsia" w:ascii="仿宋" w:hAnsi="仿宋" w:eastAsia="仿宋"/>
          <w:kern w:val="0"/>
          <w:sz w:val="32"/>
          <w:szCs w:val="32"/>
          <w:lang w:eastAsia="zh-CN"/>
        </w:rPr>
        <w:t>2022</w:t>
      </w:r>
      <w:r>
        <w:rPr>
          <w:rFonts w:hint="eastAsia" w:ascii="仿宋" w:hAnsi="仿宋" w:eastAsia="仿宋"/>
          <w:kern w:val="0"/>
          <w:sz w:val="32"/>
          <w:szCs w:val="32"/>
        </w:rPr>
        <w:t>年12月31日，本部门</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单位）</w:t>
      </w:r>
      <w:r>
        <w:rPr>
          <w:rFonts w:hint="eastAsia" w:ascii="仿宋" w:hAnsi="仿宋" w:eastAsia="仿宋"/>
          <w:kern w:val="0"/>
          <w:sz w:val="32"/>
          <w:szCs w:val="32"/>
        </w:rPr>
        <w:t>国有资产占用情况见</w:t>
      </w:r>
      <w:r>
        <w:rPr>
          <w:rFonts w:hint="eastAsia" w:ascii="仿宋" w:hAnsi="仿宋" w:eastAsia="仿宋"/>
          <w:kern w:val="0"/>
          <w:sz w:val="32"/>
          <w:szCs w:val="32"/>
          <w:lang w:val="en-US" w:eastAsia="zh-CN"/>
        </w:rPr>
        <w:t>公开10</w:t>
      </w:r>
      <w:r>
        <w:rPr>
          <w:rFonts w:hint="eastAsia" w:ascii="仿宋" w:hAnsi="仿宋" w:eastAsia="仿宋"/>
          <w:kern w:val="0"/>
          <w:sz w:val="32"/>
          <w:szCs w:val="32"/>
        </w:rPr>
        <w:t>表《国有资产占用情况表》。</w:t>
      </w:r>
    </w:p>
    <w:p w14:paraId="67785355">
      <w:pPr>
        <w:ind w:firstLine="630"/>
        <w:jc w:val="left"/>
        <w:rPr>
          <w:rFonts w:hint="default" w:ascii="仿宋_GB2312" w:hAnsi="仿宋" w:eastAsia="仿宋_GB2312"/>
          <w:kern w:val="0"/>
          <w:sz w:val="32"/>
          <w:szCs w:val="32"/>
          <w:lang w:val="en-US" w:eastAsia="zh-CN"/>
        </w:rPr>
      </w:pPr>
      <w:r>
        <w:rPr>
          <w:rFonts w:hint="eastAsia" w:ascii="仿宋" w:hAnsi="仿宋" w:eastAsia="仿宋"/>
          <w:kern w:val="0"/>
          <w:sz w:val="32"/>
          <w:szCs w:val="32"/>
          <w:lang w:val="en-US" w:eastAsia="zh-CN"/>
        </w:rPr>
        <w:t>本部门共有车辆3辆，其中2辆为下属单位景德镇军供站所有，其中1辆</w:t>
      </w:r>
      <w:r>
        <w:rPr>
          <w:rFonts w:hint="eastAsia" w:ascii="仿宋_GB2312" w:hAnsi="仿宋_GB2312" w:eastAsia="仿宋_GB2312"/>
          <w:kern w:val="0"/>
          <w:sz w:val="32"/>
          <w:szCs w:val="32"/>
          <w:lang w:val="en-US" w:eastAsia="zh-CN"/>
        </w:rPr>
        <w:t>军供保障指挥用车，另外1辆在车改时被收回；1辆为下属单位景德镇市军队离休退休干部休养所所有，</w:t>
      </w:r>
      <w:r>
        <w:rPr>
          <w:rFonts w:hint="eastAsia" w:ascii="仿宋_GB2312" w:hAnsi="仿宋" w:eastAsia="仿宋_GB2312"/>
          <w:kern w:val="0"/>
          <w:sz w:val="32"/>
          <w:szCs w:val="32"/>
          <w:lang w:val="en-US" w:eastAsia="zh-CN"/>
        </w:rPr>
        <w:t>为军休干部服务保障用车，专门用于军休干部相关事宜。</w:t>
      </w:r>
    </w:p>
    <w:p w14:paraId="7856298B">
      <w:pPr>
        <w:ind w:firstLine="630"/>
        <w:jc w:val="left"/>
        <w:rPr>
          <w:rFonts w:hint="eastAsia" w:ascii="仿宋" w:hAnsi="仿宋" w:eastAsia="仿宋"/>
          <w:kern w:val="0"/>
          <w:sz w:val="32"/>
          <w:szCs w:val="32"/>
          <w:lang w:val="en-US" w:eastAsia="zh-CN"/>
        </w:rPr>
      </w:pPr>
      <w:r>
        <w:rPr>
          <w:rFonts w:hint="eastAsia" w:ascii="仿宋" w:hAnsi="仿宋" w:eastAsia="仿宋"/>
          <w:kern w:val="0"/>
          <w:sz w:val="32"/>
          <w:szCs w:val="32"/>
          <w:lang w:val="en-US" w:eastAsia="zh-CN"/>
        </w:rPr>
        <w:t>单位价值50万元以上通用设备0台（套）；单位价值100万元以上专用设备0台（套）。</w:t>
      </w:r>
    </w:p>
    <w:p w14:paraId="0ED23A47">
      <w:pPr>
        <w:ind w:firstLine="630"/>
        <w:jc w:val="left"/>
        <w:rPr>
          <w:rFonts w:hint="eastAsia" w:ascii="黑体" w:hAnsi="黑体" w:eastAsia="黑体"/>
          <w:sz w:val="32"/>
          <w:szCs w:val="32"/>
        </w:rPr>
      </w:pPr>
      <w:r>
        <w:rPr>
          <w:rFonts w:hint="eastAsia" w:ascii="黑体" w:hAnsi="黑体" w:eastAsia="黑体"/>
          <w:sz w:val="32"/>
          <w:szCs w:val="32"/>
        </w:rPr>
        <w:t>九、预算绩效情况说明</w:t>
      </w:r>
    </w:p>
    <w:p w14:paraId="6D531673">
      <w:pPr>
        <w:autoSpaceDE w:val="0"/>
        <w:autoSpaceDN w:val="0"/>
        <w:adjustRightInd w:val="0"/>
        <w:spacing w:line="360" w:lineRule="auto"/>
        <w:jc w:val="left"/>
        <w:rPr>
          <w:rFonts w:hint="eastAsia" w:ascii="仿宋" w:hAnsi="仿宋" w:eastAsia="仿宋" w:cs="仿宋_GB2312"/>
          <w:kern w:val="0"/>
          <w:sz w:val="32"/>
          <w:szCs w:val="32"/>
        </w:rPr>
      </w:pPr>
      <w:r>
        <w:rPr>
          <w:rFonts w:hint="eastAsia" w:ascii="仿宋" w:hAnsi="仿宋" w:eastAsia="仿宋" w:cs="仿宋_GB2312"/>
          <w:kern w:val="0"/>
          <w:sz w:val="32"/>
          <w:szCs w:val="32"/>
        </w:rPr>
        <w:t xml:space="preserve">   （一）绩效</w:t>
      </w:r>
      <w:r>
        <w:rPr>
          <w:rFonts w:hint="eastAsia" w:ascii="仿宋" w:hAnsi="仿宋" w:eastAsia="仿宋" w:cs="仿宋_GB2312"/>
          <w:kern w:val="0"/>
          <w:sz w:val="32"/>
          <w:szCs w:val="32"/>
          <w:lang w:val="en-US" w:eastAsia="zh-CN"/>
        </w:rPr>
        <w:t>评价</w:t>
      </w:r>
      <w:r>
        <w:rPr>
          <w:rFonts w:hint="eastAsia" w:ascii="仿宋" w:hAnsi="仿宋" w:eastAsia="仿宋" w:cs="仿宋_GB2312"/>
          <w:kern w:val="0"/>
          <w:sz w:val="32"/>
          <w:szCs w:val="32"/>
        </w:rPr>
        <w:t>工作开展情况。</w:t>
      </w:r>
    </w:p>
    <w:p w14:paraId="6AB5D0A2">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根据预算绩效管理要求，我部门组织对</w:t>
      </w:r>
      <w:r>
        <w:rPr>
          <w:rFonts w:hint="eastAsia" w:ascii="仿宋" w:hAnsi="仿宋" w:eastAsia="仿宋" w:cs="仿宋_GB2312"/>
          <w:kern w:val="0"/>
          <w:sz w:val="32"/>
          <w:szCs w:val="32"/>
          <w:lang w:val="en-US" w:eastAsia="zh-CN"/>
        </w:rPr>
        <w:t>纳入</w:t>
      </w:r>
      <w:r>
        <w:rPr>
          <w:rFonts w:hint="eastAsia" w:ascii="仿宋" w:hAnsi="仿宋" w:eastAsia="仿宋" w:cs="仿宋_GB2312"/>
          <w:kern w:val="0"/>
          <w:sz w:val="32"/>
          <w:szCs w:val="32"/>
          <w:lang w:eastAsia="zh-CN"/>
        </w:rPr>
        <w:t>2022</w:t>
      </w:r>
      <w:r>
        <w:rPr>
          <w:rFonts w:hint="eastAsia" w:ascii="仿宋" w:hAnsi="仿宋" w:eastAsia="仿宋" w:cs="仿宋_GB2312"/>
          <w:kern w:val="0"/>
          <w:sz w:val="32"/>
          <w:szCs w:val="32"/>
        </w:rPr>
        <w:t>年度</w:t>
      </w:r>
      <w:r>
        <w:rPr>
          <w:rFonts w:hint="eastAsia" w:ascii="仿宋" w:hAnsi="仿宋" w:eastAsia="仿宋" w:cs="仿宋_GB2312"/>
          <w:kern w:val="0"/>
          <w:sz w:val="32"/>
          <w:szCs w:val="32"/>
          <w:lang w:val="en-US" w:eastAsia="zh-CN"/>
        </w:rPr>
        <w:t>部门预算</w:t>
      </w:r>
      <w:r>
        <w:rPr>
          <w:rFonts w:hint="eastAsia" w:ascii="仿宋" w:hAnsi="仿宋" w:eastAsia="仿宋" w:cs="仿宋_GB2312"/>
          <w:kern w:val="0"/>
          <w:sz w:val="32"/>
          <w:szCs w:val="32"/>
        </w:rPr>
        <w:t>项目</w:t>
      </w:r>
      <w:r>
        <w:rPr>
          <w:rFonts w:hint="eastAsia" w:ascii="仿宋" w:hAnsi="仿宋" w:eastAsia="仿宋" w:cs="仿宋_GB2312"/>
          <w:kern w:val="0"/>
          <w:sz w:val="32"/>
          <w:szCs w:val="32"/>
          <w:lang w:val="en-US" w:eastAsia="zh-CN"/>
        </w:rPr>
        <w:t>范围的二级项目25个</w:t>
      </w:r>
      <w:r>
        <w:rPr>
          <w:rFonts w:hint="eastAsia" w:ascii="仿宋" w:hAnsi="仿宋" w:eastAsia="仿宋" w:cs="仿宋_GB2312"/>
          <w:kern w:val="0"/>
          <w:sz w:val="32"/>
          <w:szCs w:val="32"/>
        </w:rPr>
        <w:t>全面开展绩效自评，共涉及资金</w:t>
      </w:r>
      <w:r>
        <w:rPr>
          <w:rFonts w:hint="eastAsia" w:ascii="仿宋" w:hAnsi="仿宋" w:eastAsia="仿宋" w:cs="仿宋_GB2312"/>
          <w:kern w:val="0"/>
          <w:sz w:val="32"/>
          <w:szCs w:val="32"/>
          <w:lang w:val="en-US" w:eastAsia="zh-CN"/>
        </w:rPr>
        <w:t>4462.11</w:t>
      </w:r>
      <w:r>
        <w:rPr>
          <w:rFonts w:hint="eastAsia" w:ascii="仿宋" w:hAnsi="仿宋" w:eastAsia="仿宋" w:cs="仿宋_GB2312"/>
          <w:kern w:val="0"/>
          <w:sz w:val="32"/>
          <w:szCs w:val="32"/>
        </w:rPr>
        <w:t>万元，占项目支出总额的</w:t>
      </w:r>
      <w:r>
        <w:rPr>
          <w:rFonts w:hint="eastAsia" w:ascii="仿宋" w:hAnsi="仿宋" w:eastAsia="仿宋" w:cs="仿宋_GB2312"/>
          <w:kern w:val="0"/>
          <w:sz w:val="32"/>
          <w:szCs w:val="32"/>
          <w:lang w:val="en-US" w:eastAsia="zh-CN"/>
        </w:rPr>
        <w:t>75.5</w:t>
      </w:r>
      <w:r>
        <w:rPr>
          <w:rFonts w:hint="eastAsia" w:ascii="仿宋" w:hAnsi="仿宋" w:eastAsia="仿宋" w:cs="仿宋_GB2312"/>
          <w:kern w:val="0"/>
          <w:sz w:val="32"/>
          <w:szCs w:val="32"/>
        </w:rPr>
        <w:t xml:space="preserve">%。    </w:t>
      </w:r>
    </w:p>
    <w:p w14:paraId="2B1B596D">
      <w:pPr>
        <w:autoSpaceDE w:val="0"/>
        <w:autoSpaceDN w:val="0"/>
        <w:adjustRightInd w:val="0"/>
        <w:spacing w:line="360" w:lineRule="auto"/>
        <w:ind w:firstLine="600"/>
        <w:jc w:val="left"/>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rPr>
        <w:t>组织对“</w:t>
      </w:r>
      <w:r>
        <w:rPr>
          <w:rFonts w:hint="eastAsia" w:ascii="仿宋" w:hAnsi="仿宋" w:eastAsia="仿宋" w:cs="仿宋_GB2312"/>
          <w:kern w:val="0"/>
          <w:sz w:val="32"/>
          <w:szCs w:val="32"/>
          <w:lang w:val="en-US" w:eastAsia="zh-CN"/>
        </w:rPr>
        <w:t>退役士兵安置经费</w:t>
      </w:r>
      <w:r>
        <w:rPr>
          <w:rFonts w:hint="eastAsia" w:ascii="仿宋" w:hAnsi="仿宋" w:eastAsia="仿宋" w:cs="仿宋_GB2312"/>
          <w:kern w:val="0"/>
          <w:sz w:val="32"/>
          <w:szCs w:val="32"/>
        </w:rPr>
        <w:t>”</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春节及八一走访慰问</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随军家属安置经费</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等3</w:t>
      </w:r>
      <w:r>
        <w:rPr>
          <w:rFonts w:hint="eastAsia" w:ascii="仿宋" w:hAnsi="仿宋" w:eastAsia="仿宋" w:cs="仿宋_GB2312"/>
          <w:kern w:val="0"/>
          <w:sz w:val="32"/>
          <w:szCs w:val="32"/>
        </w:rPr>
        <w:t>项目</w:t>
      </w:r>
      <w:r>
        <w:rPr>
          <w:rFonts w:hint="eastAsia" w:ascii="仿宋" w:hAnsi="仿宋" w:eastAsia="仿宋" w:cs="仿宋_GB2312"/>
          <w:kern w:val="0"/>
          <w:sz w:val="32"/>
          <w:szCs w:val="32"/>
          <w:lang w:val="en-US" w:eastAsia="zh-CN"/>
        </w:rPr>
        <w:t>开展</w:t>
      </w:r>
      <w:r>
        <w:rPr>
          <w:rFonts w:hint="eastAsia" w:ascii="仿宋" w:hAnsi="仿宋" w:eastAsia="仿宋" w:cs="仿宋_GB2312"/>
          <w:kern w:val="0"/>
          <w:sz w:val="32"/>
          <w:szCs w:val="32"/>
        </w:rPr>
        <w:t>了</w:t>
      </w:r>
      <w:r>
        <w:rPr>
          <w:rFonts w:hint="eastAsia" w:ascii="仿宋" w:hAnsi="仿宋" w:eastAsia="仿宋" w:cs="仿宋_GB2312"/>
          <w:kern w:val="0"/>
          <w:sz w:val="32"/>
          <w:szCs w:val="32"/>
          <w:lang w:val="en-US" w:eastAsia="zh-CN"/>
        </w:rPr>
        <w:t>部门</w:t>
      </w:r>
      <w:r>
        <w:rPr>
          <w:rFonts w:hint="eastAsia" w:ascii="仿宋" w:hAnsi="仿宋" w:eastAsia="仿宋" w:cs="仿宋_GB2312"/>
          <w:kern w:val="0"/>
          <w:sz w:val="32"/>
          <w:szCs w:val="32"/>
        </w:rPr>
        <w:t>评价，涉及一般公共预算支出</w:t>
      </w:r>
      <w:r>
        <w:rPr>
          <w:rFonts w:hint="eastAsia" w:ascii="仿宋" w:hAnsi="仿宋" w:eastAsia="仿宋" w:cs="仿宋_GB2312"/>
          <w:kern w:val="0"/>
          <w:sz w:val="32"/>
          <w:szCs w:val="32"/>
          <w:lang w:val="en-US" w:eastAsia="zh-CN"/>
        </w:rPr>
        <w:t>448</w:t>
      </w:r>
      <w:r>
        <w:rPr>
          <w:rFonts w:hint="eastAsia" w:ascii="仿宋" w:hAnsi="仿宋" w:eastAsia="仿宋" w:cs="仿宋_GB2312"/>
          <w:kern w:val="0"/>
          <w:sz w:val="32"/>
          <w:szCs w:val="32"/>
        </w:rPr>
        <w:t>万元</w:t>
      </w:r>
      <w:r>
        <w:rPr>
          <w:rFonts w:hint="eastAsia" w:ascii="仿宋" w:hAnsi="仿宋" w:eastAsia="仿宋" w:cs="仿宋_GB2312"/>
          <w:kern w:val="0"/>
          <w:sz w:val="32"/>
          <w:szCs w:val="32"/>
          <w:lang w:eastAsia="zh-CN"/>
        </w:rPr>
        <w:t>，</w:t>
      </w:r>
      <w:r>
        <w:rPr>
          <w:rFonts w:hint="eastAsia" w:ascii="仿宋_GB2312" w:hAnsi="仿宋_GB2312" w:eastAsia="仿宋_GB2312" w:cs="仿宋_GB2312"/>
          <w:color w:val="auto"/>
          <w:kern w:val="0"/>
          <w:sz w:val="32"/>
          <w:szCs w:val="32"/>
          <w:lang w:val="en-US" w:eastAsia="zh-CN"/>
        </w:rPr>
        <w:t>政府性基金预算支出0万元，国有资本预算支出0万元</w:t>
      </w:r>
      <w:r>
        <w:rPr>
          <w:rFonts w:hint="eastAsia" w:ascii="仿宋" w:hAnsi="仿宋" w:eastAsia="仿宋" w:cs="仿宋_GB2312"/>
          <w:kern w:val="0"/>
          <w:sz w:val="32"/>
          <w:szCs w:val="32"/>
        </w:rPr>
        <w:t>。从评价情况来看，</w:t>
      </w:r>
      <w:r>
        <w:rPr>
          <w:rFonts w:hint="eastAsia" w:ascii="仿宋" w:hAnsi="仿宋" w:eastAsia="仿宋" w:cs="仿宋_GB2312"/>
          <w:kern w:val="0"/>
          <w:sz w:val="32"/>
          <w:szCs w:val="32"/>
          <w:lang w:val="en-US" w:eastAsia="zh-CN"/>
        </w:rPr>
        <w:t>完成情况良好，满意度较高。</w:t>
      </w:r>
    </w:p>
    <w:p w14:paraId="11B56527">
      <w:pPr>
        <w:autoSpaceDE w:val="0"/>
        <w:autoSpaceDN w:val="0"/>
        <w:adjustRightInd w:val="0"/>
        <w:spacing w:line="360" w:lineRule="auto"/>
        <w:ind w:firstLine="640" w:firstLineChars="200"/>
        <w:jc w:val="left"/>
        <w:rPr>
          <w:rFonts w:hint="eastAsia"/>
          <w:sz w:val="22"/>
          <w:szCs w:val="21"/>
          <w:lang w:val="en-US" w:eastAsia="zh-CN"/>
        </w:rPr>
      </w:pPr>
      <w:r>
        <w:rPr>
          <w:rFonts w:hint="eastAsia" w:ascii="仿宋_GB2312" w:hAnsi="仿宋_GB2312" w:eastAsia="仿宋_GB2312" w:cs="仿宋_GB2312"/>
          <w:color w:val="auto"/>
          <w:kern w:val="0"/>
          <w:sz w:val="32"/>
          <w:szCs w:val="32"/>
        </w:rPr>
        <w:t>组织开展</w:t>
      </w:r>
      <w:r>
        <w:rPr>
          <w:rFonts w:hint="eastAsia" w:ascii="仿宋_GB2312" w:hAnsi="仿宋_GB2312" w:eastAsia="仿宋_GB2312" w:cs="仿宋_GB2312"/>
          <w:color w:val="auto"/>
          <w:kern w:val="0"/>
          <w:sz w:val="32"/>
          <w:szCs w:val="32"/>
          <w:lang w:val="en-US" w:eastAsia="zh-CN"/>
        </w:rPr>
        <w:t>部门整体支出绩效评价</w:t>
      </w:r>
      <w:r>
        <w:rPr>
          <w:rFonts w:hint="eastAsia" w:ascii="仿宋_GB2312" w:hAnsi="仿宋_GB2312" w:eastAsia="仿宋_GB2312" w:cs="仿宋_GB2312"/>
          <w:color w:val="auto"/>
          <w:kern w:val="0"/>
          <w:sz w:val="32"/>
          <w:szCs w:val="32"/>
        </w:rPr>
        <w:t>，涉及一般公共预算支出</w:t>
      </w:r>
      <w:r>
        <w:rPr>
          <w:rFonts w:hint="eastAsia" w:ascii="仿宋_GB2312" w:hAnsi="仿宋_GB2312" w:eastAsia="仿宋_GB2312" w:cs="仿宋_GB2312"/>
          <w:color w:val="auto"/>
          <w:kern w:val="0"/>
          <w:sz w:val="32"/>
          <w:szCs w:val="32"/>
          <w:lang w:val="en-US" w:eastAsia="zh-CN"/>
        </w:rPr>
        <w:t>3002.16</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政府性基金预算支出2916.09万元</w:t>
      </w:r>
      <w:r>
        <w:rPr>
          <w:rFonts w:hint="eastAsia" w:ascii="仿宋_GB2312" w:hAnsi="仿宋_GB2312" w:eastAsia="仿宋_GB2312" w:cs="仿宋_GB2312"/>
          <w:color w:val="auto"/>
          <w:kern w:val="0"/>
          <w:sz w:val="32"/>
          <w:szCs w:val="32"/>
        </w:rPr>
        <w:t>。从评价情况来看，</w:t>
      </w:r>
      <w:r>
        <w:rPr>
          <w:rFonts w:hint="eastAsia" w:ascii="仿宋_GB2312" w:hAnsi="仿宋_GB2312" w:eastAsia="仿宋_GB2312" w:cs="仿宋_GB2312"/>
          <w:color w:val="auto"/>
          <w:kern w:val="0"/>
          <w:sz w:val="32"/>
          <w:szCs w:val="32"/>
          <w:lang w:val="en-US" w:eastAsia="zh-CN"/>
        </w:rPr>
        <w:t>全年完成情况与年初设定目标基本一致，部门整体支出资金管理规范，有效发挥了财政资金的使用效率，基本保障了全市范围内退役军人事务工作的开展</w:t>
      </w:r>
      <w:r>
        <w:rPr>
          <w:rFonts w:hint="eastAsia" w:ascii="仿宋_GB2312" w:hAnsi="仿宋_GB2312" w:eastAsia="仿宋_GB2312" w:cs="仿宋_GB2312"/>
          <w:color w:val="auto"/>
          <w:kern w:val="0"/>
          <w:sz w:val="32"/>
          <w:szCs w:val="32"/>
        </w:rPr>
        <w:t>。</w:t>
      </w:r>
    </w:p>
    <w:p w14:paraId="2B1D7043">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（二）部门决算中项目绩效自评</w:t>
      </w:r>
      <w:r>
        <w:rPr>
          <w:rFonts w:hint="eastAsia" w:ascii="仿宋" w:hAnsi="仿宋" w:eastAsia="仿宋" w:cs="仿宋_GB2312"/>
          <w:kern w:val="0"/>
          <w:sz w:val="32"/>
          <w:szCs w:val="32"/>
          <w:lang w:val="en-US" w:eastAsia="zh-CN"/>
        </w:rPr>
        <w:t>情况</w:t>
      </w:r>
      <w:r>
        <w:rPr>
          <w:rFonts w:hint="eastAsia" w:ascii="仿宋" w:hAnsi="仿宋" w:eastAsia="仿宋" w:cs="仿宋_GB2312"/>
          <w:kern w:val="0"/>
          <w:sz w:val="32"/>
          <w:szCs w:val="32"/>
        </w:rPr>
        <w:t>。</w:t>
      </w:r>
    </w:p>
    <w:p w14:paraId="7E5336C9">
      <w:pPr>
        <w:numPr>
          <w:ilvl w:val="0"/>
          <w:numId w:val="2"/>
        </w:numPr>
        <w:jc w:val="left"/>
        <w:rPr>
          <w:rFonts w:hint="eastAsia" w:ascii="仿宋" w:hAnsi="仿宋" w:eastAsia="仿宋" w:cs="仿宋_GB2312"/>
          <w:sz w:val="32"/>
          <w:szCs w:val="40"/>
        </w:rPr>
      </w:pPr>
      <w:r>
        <w:rPr>
          <w:rFonts w:hint="eastAsia" w:ascii="仿宋" w:hAnsi="仿宋" w:eastAsia="仿宋" w:cs="仿宋_GB2312"/>
          <w:sz w:val="32"/>
          <w:szCs w:val="40"/>
        </w:rPr>
        <w:t>本部门项目绩效目标情况</w:t>
      </w:r>
    </w:p>
    <w:p w14:paraId="5E2EFCDF">
      <w:pPr>
        <w:numPr>
          <w:ilvl w:val="0"/>
          <w:numId w:val="0"/>
        </w:numPr>
        <w:ind w:firstLine="64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（一）部门项目基本情况</w:t>
      </w:r>
    </w:p>
    <w:p w14:paraId="5CA36C83">
      <w:pPr>
        <w:numPr>
          <w:ilvl w:val="0"/>
          <w:numId w:val="0"/>
        </w:numPr>
        <w:ind w:firstLine="64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根据项目支出绩效自评工作的开展，景德镇市退役军人事务局（含所属二级单位）2022年度财政拨款预算项目共计25个，其中：景德镇市退役军人事务局17个，景德镇市退役军人服务中心4个，景德镇市军队离休退休干部休养所1个，景德镇军供站3个。以上项目主要用于日常办公各项经费、退役军人事务工作开展相关经费、军队离休退休干部管理服务、军队供应工作等，保障各科室各局属单位的正常运转。</w:t>
      </w:r>
    </w:p>
    <w:p w14:paraId="4C1F4AAF">
      <w:pPr>
        <w:numPr>
          <w:ilvl w:val="0"/>
          <w:numId w:val="0"/>
        </w:numPr>
        <w:ind w:firstLine="64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（二）项目绩效目标完成情况</w:t>
      </w:r>
    </w:p>
    <w:p w14:paraId="49732BD5">
      <w:pPr>
        <w:numPr>
          <w:ilvl w:val="0"/>
          <w:numId w:val="0"/>
        </w:numPr>
        <w:ind w:firstLine="64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景德镇市退役军人事务局2022年度25个项目均完成了项目支出绩效自评，分别填列了全年预算数、全年执行数、执行率以及自评得分等，具体情况详见各项目自评表。</w:t>
      </w:r>
    </w:p>
    <w:p w14:paraId="53EEB6A4">
      <w:pPr>
        <w:numPr>
          <w:ilvl w:val="0"/>
          <w:numId w:val="2"/>
        </w:numPr>
        <w:jc w:val="left"/>
        <w:rPr>
          <w:rFonts w:hint="eastAsia" w:ascii="仿宋" w:hAnsi="仿宋" w:eastAsia="仿宋"/>
          <w:sz w:val="32"/>
          <w:szCs w:val="22"/>
        </w:rPr>
      </w:pPr>
      <w:r>
        <w:rPr>
          <w:rFonts w:hint="eastAsia" w:ascii="仿宋" w:hAnsi="仿宋" w:eastAsia="仿宋" w:cs="仿宋_GB2312"/>
          <w:sz w:val="32"/>
          <w:szCs w:val="40"/>
        </w:rPr>
        <w:t>单位自评工作开展情况</w:t>
      </w:r>
    </w:p>
    <w:p w14:paraId="06983AE5">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w:t>
      </w:r>
    </w:p>
    <w:p w14:paraId="1FBCA60B">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景德镇市退役军人事务局</w:t>
      </w:r>
      <w:r>
        <w:rPr>
          <w:rFonts w:hint="eastAsia" w:ascii="仿宋_GB2312" w:hAnsi="仿宋_GB2312" w:eastAsia="仿宋_GB2312" w:cs="仿宋_GB2312"/>
          <w:sz w:val="32"/>
          <w:szCs w:val="32"/>
        </w:rPr>
        <w:t>成立预算绩效评价工作小组，召开专题会议，制定工作计划，明确熟悉财务工作的同志具体负责绩效评价工作，保障</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年预算绩效自评工作顺利完成。</w:t>
      </w:r>
    </w:p>
    <w:p w14:paraId="151C4C32">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办公室作为经费管理部门负责项目考评全面工作，业务部门作为项目执行部门，全面配合绩效自评工作的开展，相关部门均确定专人负责该项工作，提供绩效评价所需要的数据和材料，组织开展自评工作，形成《</w:t>
      </w:r>
      <w:r>
        <w:rPr>
          <w:rFonts w:hint="eastAsia" w:ascii="仿宋_GB2312" w:hAnsi="仿宋_GB2312" w:eastAsia="仿宋_GB2312" w:cs="仿宋_GB2312"/>
          <w:sz w:val="32"/>
          <w:szCs w:val="32"/>
          <w:lang w:val="en-US" w:eastAsia="zh-CN"/>
        </w:rPr>
        <w:t>景德镇市退役军人事务局2022</w:t>
      </w:r>
      <w:r>
        <w:rPr>
          <w:rFonts w:hint="eastAsia" w:ascii="仿宋_GB2312" w:hAnsi="仿宋_GB2312" w:eastAsia="仿宋_GB2312" w:cs="仿宋_GB2312"/>
          <w:sz w:val="32"/>
          <w:szCs w:val="32"/>
        </w:rPr>
        <w:t>年项目支出绩效自评报告》。</w:t>
      </w:r>
    </w:p>
    <w:p w14:paraId="4C9D49F9">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自评报告从项目概况、项目支出绩效自评工作开展情况、项目支出绩效评价情况分析及综合评价结论、存在的问题和整改情况、绩效自评结果应用和主要经验及做法六个方面进行了阐述。</w:t>
      </w:r>
    </w:p>
    <w:p w14:paraId="1AAEAA6D">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w:t>
      </w:r>
    </w:p>
    <w:p w14:paraId="3AA000AA">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val="en-US" w:eastAsia="zh-CN"/>
        </w:rPr>
        <w:t>评价</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小组由党组成员、副局长徐和平</w:t>
      </w:r>
      <w:r>
        <w:rPr>
          <w:rFonts w:hint="eastAsia" w:ascii="仿宋_GB2312" w:hAnsi="仿宋_GB2312" w:eastAsia="仿宋_GB2312" w:cs="仿宋_GB2312"/>
          <w:sz w:val="32"/>
          <w:szCs w:val="32"/>
        </w:rPr>
        <w:t>任组长，办公室主任</w:t>
      </w:r>
      <w:r>
        <w:rPr>
          <w:rFonts w:hint="eastAsia" w:ascii="仿宋_GB2312" w:hAnsi="仿宋_GB2312" w:eastAsia="仿宋_GB2312" w:cs="仿宋_GB2312"/>
          <w:sz w:val="32"/>
          <w:szCs w:val="32"/>
          <w:lang w:val="en-US" w:eastAsia="zh-CN"/>
        </w:rPr>
        <w:t>孙静</w:t>
      </w:r>
      <w:r>
        <w:rPr>
          <w:rFonts w:hint="eastAsia" w:ascii="仿宋_GB2312" w:hAnsi="仿宋_GB2312" w:eastAsia="仿宋_GB2312" w:cs="仿宋_GB2312"/>
          <w:sz w:val="32"/>
          <w:szCs w:val="32"/>
        </w:rPr>
        <w:t>任副组长，各业务科室负责人及财务人员为组员，组成评价工作小组。</w:t>
      </w:r>
    </w:p>
    <w:p w14:paraId="5AACFA5A">
      <w:pPr>
        <w:spacing w:line="540" w:lineRule="exact"/>
        <w:ind w:firstLine="640" w:firstLineChars="200"/>
        <w:rPr>
          <w:rFonts w:hint="eastAsia" w:ascii="仿宋" w:hAnsi="仿宋" w:eastAsia="仿宋"/>
          <w:sz w:val="32"/>
          <w:szCs w:val="22"/>
        </w:rPr>
      </w:pPr>
      <w:r>
        <w:rPr>
          <w:rFonts w:hint="eastAsia" w:ascii="仿宋_GB2312" w:hAnsi="仿宋_GB2312" w:eastAsia="仿宋_GB2312" w:cs="仿宋_GB2312"/>
          <w:sz w:val="32"/>
          <w:szCs w:val="32"/>
        </w:rPr>
        <w:t>组长主要负责绩效评价工作的总体质量，负责与业务有关各方在重大事项方面充分且及时沟通，解决业务执行中所有重大方面的相关事项。副组长负责绩效评价工作复核，对整体支出绩效评价质量起到保障作用。各业务科室长、财务人员，负责整体支出绩效评价的具体实施，进行整体支出前期调研、制定绩效指标体系、实施方案，编写绩效评价报告。</w:t>
      </w:r>
    </w:p>
    <w:p w14:paraId="43417A43">
      <w:pPr>
        <w:numPr>
          <w:ilvl w:val="0"/>
          <w:numId w:val="2"/>
        </w:numPr>
        <w:jc w:val="left"/>
        <w:rPr>
          <w:rFonts w:hint="eastAsia" w:ascii="仿宋" w:hAnsi="仿宋" w:eastAsia="仿宋"/>
          <w:sz w:val="32"/>
          <w:szCs w:val="22"/>
        </w:rPr>
      </w:pPr>
      <w:r>
        <w:rPr>
          <w:rFonts w:hint="eastAsia" w:ascii="仿宋" w:hAnsi="仿宋" w:eastAsia="仿宋" w:cs="仿宋_GB2312"/>
          <w:sz w:val="32"/>
          <w:szCs w:val="40"/>
        </w:rPr>
        <w:t>综合评价结论</w:t>
      </w:r>
    </w:p>
    <w:p w14:paraId="00535451">
      <w:pPr>
        <w:numPr>
          <w:ilvl w:val="0"/>
          <w:numId w:val="0"/>
        </w:numPr>
        <w:ind w:firstLine="640" w:firstLineChars="200"/>
        <w:jc w:val="left"/>
        <w:rPr>
          <w:rFonts w:hint="eastAsia" w:ascii="仿宋" w:hAnsi="仿宋" w:eastAsia="仿宋"/>
          <w:sz w:val="32"/>
          <w:szCs w:val="22"/>
        </w:rPr>
      </w:pPr>
      <w:r>
        <w:rPr>
          <w:rFonts w:hint="eastAsia" w:ascii="仿宋" w:hAnsi="仿宋" w:eastAsia="仿宋" w:cs="仿宋"/>
          <w:sz w:val="32"/>
          <w:szCs w:val="32"/>
        </w:rPr>
        <w:t>我</w:t>
      </w:r>
      <w:r>
        <w:rPr>
          <w:rFonts w:hint="eastAsia" w:ascii="仿宋" w:hAnsi="仿宋" w:eastAsia="仿宋" w:cs="仿宋"/>
          <w:sz w:val="32"/>
          <w:szCs w:val="32"/>
          <w:lang w:val="en-US" w:eastAsia="zh-CN"/>
        </w:rPr>
        <w:t>部门25个项目</w:t>
      </w:r>
      <w:r>
        <w:rPr>
          <w:rFonts w:hint="eastAsia" w:ascii="仿宋" w:hAnsi="仿宋" w:eastAsia="仿宋" w:cs="仿宋"/>
          <w:sz w:val="32"/>
          <w:szCs w:val="32"/>
        </w:rPr>
        <w:t>支出绩效自评得分</w:t>
      </w:r>
      <w:r>
        <w:rPr>
          <w:rFonts w:hint="eastAsia" w:ascii="仿宋" w:hAnsi="仿宋" w:eastAsia="仿宋" w:cs="仿宋"/>
          <w:sz w:val="32"/>
          <w:szCs w:val="32"/>
          <w:lang w:val="en-US" w:eastAsia="zh-CN"/>
        </w:rPr>
        <w:t>均为100</w:t>
      </w:r>
      <w:r>
        <w:rPr>
          <w:rFonts w:hint="eastAsia" w:ascii="仿宋" w:hAnsi="仿宋" w:eastAsia="仿宋" w:cs="仿宋"/>
          <w:sz w:val="32"/>
          <w:szCs w:val="32"/>
        </w:rPr>
        <w:t>分</w:t>
      </w:r>
      <w:r>
        <w:rPr>
          <w:rFonts w:hint="eastAsia" w:ascii="仿宋" w:hAnsi="仿宋" w:eastAsia="仿宋" w:cs="仿宋"/>
          <w:sz w:val="32"/>
          <w:szCs w:val="32"/>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年项目支出预算管理目标、绩效指标基本明确；重点支出保障程度较高；项目预算执行情况整体较好，信息公开及时，部门履职效果较好，有效维护社会和谐稳定</w:t>
      </w:r>
      <w:r>
        <w:rPr>
          <w:rFonts w:hint="eastAsia" w:ascii="仿宋" w:hAnsi="仿宋" w:eastAsia="仿宋" w:cs="仿宋"/>
          <w:sz w:val="32"/>
          <w:szCs w:val="32"/>
          <w:lang w:eastAsia="zh-CN"/>
        </w:rPr>
        <w:t>。</w:t>
      </w:r>
    </w:p>
    <w:p w14:paraId="274B8C8A">
      <w:pPr>
        <w:numPr>
          <w:ilvl w:val="0"/>
          <w:numId w:val="2"/>
        </w:numPr>
        <w:jc w:val="left"/>
        <w:rPr>
          <w:rFonts w:hint="eastAsia" w:ascii="仿宋" w:hAnsi="仿宋" w:eastAsia="仿宋"/>
          <w:sz w:val="32"/>
          <w:szCs w:val="22"/>
        </w:rPr>
      </w:pPr>
      <w:r>
        <w:rPr>
          <w:rFonts w:hint="eastAsia" w:ascii="仿宋" w:hAnsi="仿宋" w:eastAsia="仿宋" w:cs="仿宋_GB2312"/>
          <w:sz w:val="32"/>
          <w:szCs w:val="40"/>
        </w:rPr>
        <w:t>绩效目标完成情况总体分析</w:t>
      </w:r>
    </w:p>
    <w:p w14:paraId="7A12EC05">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（一）总体目标、工作任务。</w:t>
      </w:r>
    </w:p>
    <w:p w14:paraId="21D0EACE">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1.完成春节及八一走访慰问；</w:t>
      </w:r>
    </w:p>
    <w:p w14:paraId="75E826A3">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2.企业军转干部解困、医疗救助做到应帮尽帮；随军家属安置经费发放到位；</w:t>
      </w:r>
    </w:p>
    <w:p w14:paraId="6CD5D215">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3.自谋职业及自主就业士兵安置经费发放到位；</w:t>
      </w:r>
    </w:p>
    <w:p w14:paraId="0C182A71">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4.自主择业军转干部医疗保险按月缴纳到位，冬季取暖费发放到位；</w:t>
      </w:r>
    </w:p>
    <w:p w14:paraId="26A78CEC">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5.随军家属安置经费发放到位；</w:t>
      </w:r>
    </w:p>
    <w:p w14:paraId="7B5D773D">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6.军队供应工作顺利完成；</w:t>
      </w:r>
    </w:p>
    <w:p w14:paraId="118B9035">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7.日常工作有序进行。</w:t>
      </w:r>
    </w:p>
    <w:p w14:paraId="55FE90BC">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（二）部门年度整体支出绩效目标。</w:t>
      </w:r>
    </w:p>
    <w:p w14:paraId="72528447">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1.完成春节及八一走访慰问；</w:t>
      </w:r>
    </w:p>
    <w:p w14:paraId="209EF5DD">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2.企业军转干部解困、医疗救助做到应帮尽帮；随军家属安置经费发放到位；</w:t>
      </w:r>
    </w:p>
    <w:p w14:paraId="79202B6F">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3.自谋职业及自主就业士兵安置经费发放到位；</w:t>
      </w:r>
    </w:p>
    <w:p w14:paraId="0EC3AD5D">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4.自主择业军转干部医疗保险按月缴纳到位，冬季取暖费发放到位；</w:t>
      </w:r>
    </w:p>
    <w:p w14:paraId="26495554">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5.随军家属安置经费发放到位；</w:t>
      </w:r>
    </w:p>
    <w:p w14:paraId="49C7C062">
      <w:pPr>
        <w:numPr>
          <w:ilvl w:val="0"/>
          <w:numId w:val="0"/>
        </w:numPr>
        <w:ind w:firstLine="640" w:firstLineChars="20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6.军队供应工作顺利完成；</w:t>
      </w:r>
    </w:p>
    <w:p w14:paraId="7360515B">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（三）当年部门预算及执行情况。</w:t>
      </w:r>
    </w:p>
    <w:p w14:paraId="1FD7AAEA">
      <w:pPr>
        <w:pStyle w:val="2"/>
        <w:numPr>
          <w:ilvl w:val="0"/>
          <w:numId w:val="0"/>
        </w:numPr>
        <w:rPr>
          <w:rFonts w:hint="default"/>
          <w:lang w:val="en-US" w:eastAsia="zh-CN"/>
        </w:rPr>
      </w:pPr>
      <w:r>
        <w:rPr>
          <w:rFonts w:hint="eastAsia"/>
          <w:lang w:val="en-US" w:eastAsia="zh-CN"/>
        </w:rPr>
        <w:t xml:space="preserve">   </w:t>
      </w:r>
      <w:r>
        <w:rPr>
          <w:rFonts w:hint="eastAsia" w:ascii="仿宋" w:hAnsi="仿宋" w:eastAsia="仿宋" w:cs="仿宋_GB2312"/>
          <w:kern w:val="2"/>
          <w:sz w:val="32"/>
          <w:szCs w:val="40"/>
          <w:lang w:val="en-US" w:eastAsia="zh-CN" w:bidi="ar-SA"/>
        </w:rPr>
        <w:t xml:space="preserve"> 全年项目预算数5918.25万元，全年执行数5667.11万元，执行率95.76%。</w:t>
      </w:r>
    </w:p>
    <w:p w14:paraId="3BBD8BE2">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（四）绩效目标完成情况</w:t>
      </w:r>
    </w:p>
    <w:p w14:paraId="3A088AB2">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1.数量指标</w:t>
      </w:r>
    </w:p>
    <w:p w14:paraId="121B4AA6">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（1）完成对驻景部队、困难企业军转干部、重点优抚对象等春节及八一一年两次走访慰问；</w:t>
      </w:r>
    </w:p>
    <w:p w14:paraId="7C33DE03">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（2）困难企业军转干部符合要求医疗专项救助人员全员救助；</w:t>
      </w:r>
    </w:p>
    <w:p w14:paraId="2FDBEA0B">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（3）发放随军家属未就业补助符合条件人数83人；</w:t>
      </w:r>
    </w:p>
    <w:p w14:paraId="3E547C07">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（4）自主就业、自谋职业退役士兵一次性经济补助全额发放；</w:t>
      </w:r>
    </w:p>
    <w:p w14:paraId="5E6CCE0F">
      <w:pPr>
        <w:pStyle w:val="2"/>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（5）自主择业军转干部113人相关业务开展。</w:t>
      </w:r>
    </w:p>
    <w:p w14:paraId="249A6A44">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2.质量指标</w:t>
      </w:r>
    </w:p>
    <w:p w14:paraId="2AF24245">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（1）完成对驻景部队、困难企业军转干部、重点优抚对象等春节及八一一年两次走访慰问资金使用符合规定；</w:t>
      </w:r>
    </w:p>
    <w:p w14:paraId="5AF96609">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（2）困难企业军转干部解困补助、医疗专项救助资金使用符合规定；</w:t>
      </w:r>
    </w:p>
    <w:p w14:paraId="55E3B808">
      <w:pPr>
        <w:pStyle w:val="2"/>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（3）随军家属未就业补助严格按照发放标准发放；</w:t>
      </w:r>
    </w:p>
    <w:p w14:paraId="2C0E9423">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（4）自主就业、自谋职业退役士兵一次性经济补助严格按照发放标准发放；</w:t>
      </w:r>
    </w:p>
    <w:p w14:paraId="257C57DD">
      <w:pPr>
        <w:pStyle w:val="2"/>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（5）自主择业军转干部112人冬季取暖费、医保金严格按照发放标准发放和缴纳。</w:t>
      </w:r>
    </w:p>
    <w:p w14:paraId="2F40ABE7">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3.时效指标</w:t>
      </w:r>
    </w:p>
    <w:p w14:paraId="150689BA">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（1）及时完成对驻景部队、困难企业军转干部、重点优抚对象等春节及八一一年两次走访慰问；</w:t>
      </w:r>
    </w:p>
    <w:p w14:paraId="1D47AA24">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（2）及时发放困难企业军转干部解困补助、医疗专项救助金；</w:t>
      </w:r>
    </w:p>
    <w:p w14:paraId="5D2AF8B5">
      <w:pPr>
        <w:pStyle w:val="2"/>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（3）及时发放随军家属未就业补助；</w:t>
      </w:r>
    </w:p>
    <w:p w14:paraId="5CFE33E2">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（4）及时发放自主就业、自谋职业退役士兵一次性经济补助；</w:t>
      </w:r>
    </w:p>
    <w:p w14:paraId="7BA2DFC6">
      <w:pPr>
        <w:pStyle w:val="2"/>
        <w:ind w:firstLine="640"/>
        <w:rPr>
          <w:rFonts w:hint="default"/>
          <w:lang w:val="en-US" w:eastAsia="zh-CN"/>
        </w:rPr>
      </w:pPr>
      <w:r>
        <w:rPr>
          <w:rFonts w:hint="eastAsia" w:ascii="仿宋" w:hAnsi="仿宋" w:eastAsia="仿宋" w:cs="仿宋"/>
          <w:sz w:val="32"/>
          <w:szCs w:val="32"/>
          <w:lang w:val="en-US" w:eastAsia="zh-CN"/>
        </w:rPr>
        <w:t>（5）及时发放自主择业军转干部112人冬季取暖费、医保金。</w:t>
      </w:r>
    </w:p>
    <w:p w14:paraId="5646BC6C">
      <w:pPr>
        <w:pStyle w:val="2"/>
        <w:ind w:firstLine="640"/>
        <w:rPr>
          <w:rFonts w:hint="eastAsia" w:ascii="仿宋" w:hAnsi="仿宋" w:eastAsia="仿宋" w:cs="仿宋_GB2312"/>
          <w:kern w:val="2"/>
          <w:sz w:val="32"/>
          <w:szCs w:val="40"/>
          <w:lang w:val="en-US" w:eastAsia="zh-CN" w:bidi="ar-SA"/>
        </w:rPr>
      </w:pPr>
      <w:r>
        <w:rPr>
          <w:rFonts w:hint="eastAsia" w:ascii="仿宋" w:hAnsi="仿宋" w:eastAsia="仿宋" w:cs="仿宋_GB2312"/>
          <w:kern w:val="2"/>
          <w:sz w:val="32"/>
          <w:szCs w:val="40"/>
          <w:lang w:val="en-US" w:eastAsia="zh-CN" w:bidi="ar-SA"/>
        </w:rPr>
        <w:t>4.社会效益指标</w:t>
      </w:r>
    </w:p>
    <w:p w14:paraId="51C67E2A">
      <w:pPr>
        <w:pStyle w:val="2"/>
        <w:ind w:firstLine="640"/>
        <w:rPr>
          <w:rFonts w:hint="eastAsia" w:ascii="仿宋" w:hAnsi="仿宋" w:eastAsia="仿宋" w:cs="仿宋_GB2312"/>
          <w:kern w:val="2"/>
          <w:sz w:val="32"/>
          <w:szCs w:val="40"/>
          <w:lang w:val="en-US" w:eastAsia="zh-CN" w:bidi="ar-SA"/>
        </w:rPr>
      </w:pPr>
      <w:r>
        <w:rPr>
          <w:rFonts w:hint="eastAsia" w:ascii="仿宋" w:hAnsi="仿宋" w:eastAsia="仿宋" w:cs="仿宋_GB2312"/>
          <w:kern w:val="2"/>
          <w:sz w:val="32"/>
          <w:szCs w:val="40"/>
          <w:lang w:val="en-US" w:eastAsia="zh-CN" w:bidi="ar-SA"/>
        </w:rPr>
        <w:t>（1）增强了军人荣誉感认知度；</w:t>
      </w:r>
    </w:p>
    <w:p w14:paraId="64F62984">
      <w:pPr>
        <w:pStyle w:val="2"/>
        <w:ind w:firstLine="640"/>
        <w:rPr>
          <w:rFonts w:hint="eastAsia" w:ascii="仿宋" w:hAnsi="仿宋" w:eastAsia="仿宋" w:cs="仿宋_GB2312"/>
          <w:kern w:val="2"/>
          <w:sz w:val="32"/>
          <w:szCs w:val="40"/>
          <w:lang w:val="en-US" w:eastAsia="zh-CN" w:bidi="ar-SA"/>
        </w:rPr>
      </w:pPr>
      <w:r>
        <w:rPr>
          <w:rFonts w:hint="eastAsia" w:ascii="仿宋" w:hAnsi="仿宋" w:eastAsia="仿宋" w:cs="仿宋"/>
          <w:sz w:val="32"/>
          <w:szCs w:val="32"/>
          <w:lang w:val="en-US" w:eastAsia="zh-CN"/>
        </w:rPr>
        <w:t>（2）</w:t>
      </w:r>
      <w:r>
        <w:rPr>
          <w:rFonts w:hint="eastAsia" w:ascii="仿宋" w:hAnsi="仿宋" w:eastAsia="仿宋" w:cs="仿宋_GB2312"/>
          <w:kern w:val="2"/>
          <w:sz w:val="32"/>
          <w:szCs w:val="40"/>
          <w:lang w:val="en-US" w:eastAsia="zh-CN" w:bidi="ar-SA"/>
        </w:rPr>
        <w:t>落实困难企业军转干部解困补助、医疗专项救助等特殊待遇；</w:t>
      </w:r>
    </w:p>
    <w:p w14:paraId="4D931126">
      <w:pPr>
        <w:pStyle w:val="2"/>
        <w:ind w:firstLine="640"/>
        <w:rPr>
          <w:rFonts w:hint="eastAsia" w:ascii="仿宋" w:hAnsi="仿宋" w:eastAsia="仿宋" w:cs="仿宋_GB2312"/>
          <w:kern w:val="2"/>
          <w:sz w:val="32"/>
          <w:szCs w:val="40"/>
          <w:lang w:val="en-US" w:eastAsia="zh-CN" w:bidi="ar-SA"/>
        </w:rPr>
      </w:pPr>
      <w:r>
        <w:rPr>
          <w:rFonts w:hint="eastAsia" w:ascii="仿宋" w:hAnsi="仿宋" w:eastAsia="仿宋" w:cs="仿宋"/>
          <w:sz w:val="32"/>
          <w:szCs w:val="32"/>
          <w:lang w:val="en-US" w:eastAsia="zh-CN"/>
        </w:rPr>
        <w:t>（3）</w:t>
      </w:r>
      <w:r>
        <w:rPr>
          <w:rFonts w:hint="eastAsia" w:ascii="仿宋" w:hAnsi="仿宋" w:eastAsia="仿宋" w:cs="仿宋_GB2312"/>
          <w:kern w:val="2"/>
          <w:sz w:val="32"/>
          <w:szCs w:val="40"/>
          <w:lang w:val="en-US" w:eastAsia="zh-CN" w:bidi="ar-SA"/>
        </w:rPr>
        <w:t>落实自主择业军转干部相关待遇；</w:t>
      </w:r>
    </w:p>
    <w:p w14:paraId="7DCCE208">
      <w:pPr>
        <w:pStyle w:val="2"/>
        <w:ind w:firstLine="640"/>
        <w:rPr>
          <w:rFonts w:hint="default" w:ascii="仿宋" w:hAnsi="仿宋" w:eastAsia="仿宋" w:cs="仿宋_GB2312"/>
          <w:kern w:val="2"/>
          <w:sz w:val="32"/>
          <w:szCs w:val="40"/>
          <w:lang w:val="en-US" w:eastAsia="zh-CN" w:bidi="ar-SA"/>
        </w:rPr>
      </w:pPr>
      <w:r>
        <w:rPr>
          <w:rFonts w:hint="eastAsia" w:ascii="仿宋" w:hAnsi="仿宋" w:eastAsia="仿宋" w:cs="仿宋"/>
          <w:sz w:val="32"/>
          <w:szCs w:val="32"/>
          <w:lang w:val="en-US" w:eastAsia="zh-CN"/>
        </w:rPr>
        <w:t>（4）</w:t>
      </w:r>
      <w:r>
        <w:rPr>
          <w:rFonts w:hint="eastAsia" w:ascii="仿宋" w:hAnsi="仿宋" w:eastAsia="仿宋" w:cs="仿宋_GB2312"/>
          <w:kern w:val="2"/>
          <w:sz w:val="32"/>
          <w:szCs w:val="40"/>
          <w:lang w:val="en-US" w:eastAsia="zh-CN" w:bidi="ar-SA"/>
        </w:rPr>
        <w:t>提高退役士兵安置政策知晓率；</w:t>
      </w:r>
    </w:p>
    <w:p w14:paraId="14C1BB80">
      <w:pPr>
        <w:pStyle w:val="2"/>
        <w:ind w:firstLine="640"/>
        <w:rPr>
          <w:rFonts w:hint="default"/>
          <w:lang w:val="en-US" w:eastAsia="zh-CN"/>
        </w:rPr>
      </w:pPr>
      <w:r>
        <w:rPr>
          <w:rFonts w:hint="eastAsia" w:ascii="仿宋" w:hAnsi="仿宋" w:eastAsia="仿宋" w:cs="仿宋"/>
          <w:sz w:val="32"/>
          <w:szCs w:val="32"/>
          <w:lang w:val="en-US" w:eastAsia="zh-CN"/>
        </w:rPr>
        <w:t>（5）</w:t>
      </w:r>
      <w:r>
        <w:rPr>
          <w:rFonts w:hint="eastAsia" w:ascii="仿宋" w:hAnsi="仿宋" w:eastAsia="仿宋" w:cs="仿宋_GB2312"/>
          <w:kern w:val="2"/>
          <w:sz w:val="32"/>
          <w:szCs w:val="40"/>
          <w:lang w:val="en-US" w:eastAsia="zh-CN" w:bidi="ar-SA"/>
        </w:rPr>
        <w:t>维持社会稳定程度，涉军人员上访率低于5%。</w:t>
      </w:r>
    </w:p>
    <w:p w14:paraId="11ADD803">
      <w:pPr>
        <w:numPr>
          <w:ilvl w:val="0"/>
          <w:numId w:val="0"/>
        </w:numPr>
        <w:ind w:left="420" w:leftChars="0" w:firstLine="320" w:firstLineChars="10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5.社会满意度指标</w:t>
      </w:r>
    </w:p>
    <w:p w14:paraId="2ECE4D04">
      <w:pPr>
        <w:numPr>
          <w:ilvl w:val="0"/>
          <w:numId w:val="0"/>
        </w:numPr>
        <w:ind w:firstLine="640" w:firstLineChars="200"/>
        <w:jc w:val="left"/>
        <w:rPr>
          <w:rFonts w:hint="eastAsia" w:ascii="仿宋" w:hAnsi="仿宋" w:eastAsia="仿宋" w:cs="仿宋_GB2312"/>
          <w:sz w:val="32"/>
          <w:szCs w:val="40"/>
          <w:lang w:val="en-US" w:eastAsia="zh-CN"/>
        </w:rPr>
      </w:pPr>
      <w:r>
        <w:rPr>
          <w:rFonts w:hint="eastAsia" w:ascii="仿宋" w:hAnsi="仿宋" w:eastAsia="仿宋" w:cs="仿宋_GB2312"/>
          <w:sz w:val="32"/>
          <w:szCs w:val="40"/>
          <w:lang w:val="en-US" w:eastAsia="zh-CN"/>
        </w:rPr>
        <w:t>驻景部队、困难企业军转干部、自主择业军转干部、自谋职业及自主就业退役士兵、重点优抚对象等退役军人、现役军人满意度高于90%。</w:t>
      </w:r>
    </w:p>
    <w:p w14:paraId="3341770C">
      <w:pPr>
        <w:numPr>
          <w:numId w:val="0"/>
        </w:numPr>
        <w:jc w:val="left"/>
        <w:rPr>
          <w:rFonts w:hint="default"/>
          <w:lang w:val="en-US" w:eastAsia="zh-CN"/>
        </w:rPr>
      </w:pPr>
      <w:r>
        <w:rPr>
          <w:rFonts w:hint="eastAsia" w:ascii="仿宋" w:hAnsi="仿宋" w:eastAsia="仿宋" w:cs="仿宋_GB2312"/>
          <w:sz w:val="32"/>
          <w:szCs w:val="40"/>
          <w:lang w:val="en-US" w:eastAsia="zh-CN"/>
        </w:rPr>
        <w:t>五、</w:t>
      </w:r>
      <w:bookmarkStart w:id="0" w:name="_GoBack"/>
      <w:bookmarkEnd w:id="0"/>
      <w:r>
        <w:rPr>
          <w:rFonts w:hint="eastAsia" w:ascii="仿宋" w:hAnsi="仿宋" w:eastAsia="仿宋" w:cs="仿宋_GB2312"/>
          <w:sz w:val="32"/>
          <w:szCs w:val="40"/>
        </w:rPr>
        <w:t>偏离绩效目标的原因和改进措施</w:t>
      </w:r>
    </w:p>
    <w:p w14:paraId="72B4DA65">
      <w:pPr>
        <w:numPr>
          <w:ilvl w:val="0"/>
          <w:numId w:val="3"/>
        </w:numPr>
        <w:ind w:left="0" w:leftChars="0" w:firstLine="420" w:firstLineChars="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主要问题及原因分析</w:t>
      </w:r>
    </w:p>
    <w:p w14:paraId="13D9B93A">
      <w:pPr>
        <w:pStyle w:val="2"/>
        <w:ind w:firstLine="640" w:firstLineChars="200"/>
        <w:rPr>
          <w:rFonts w:hint="default" w:ascii="仿宋" w:hAnsi="仿宋" w:eastAsia="仿宋" w:cs="仿宋_GB2312"/>
          <w:kern w:val="2"/>
          <w:sz w:val="32"/>
          <w:szCs w:val="40"/>
          <w:lang w:val="en-US" w:eastAsia="zh-CN" w:bidi="ar-SA"/>
        </w:rPr>
      </w:pPr>
      <w:r>
        <w:rPr>
          <w:rFonts w:hint="default" w:ascii="仿宋" w:hAnsi="仿宋" w:eastAsia="仿宋" w:cs="仿宋_GB2312"/>
          <w:kern w:val="2"/>
          <w:sz w:val="32"/>
          <w:szCs w:val="40"/>
          <w:lang w:val="en-US" w:eastAsia="zh-CN" w:bidi="ar-SA"/>
        </w:rPr>
        <w:t>1.对于目标设定需要分科室部门分解，汇总后制定整体</w:t>
      </w:r>
    </w:p>
    <w:p w14:paraId="6E430062">
      <w:pPr>
        <w:pStyle w:val="2"/>
        <w:rPr>
          <w:rFonts w:hint="default" w:ascii="仿宋" w:hAnsi="仿宋" w:eastAsia="仿宋" w:cs="仿宋_GB2312"/>
          <w:kern w:val="2"/>
          <w:sz w:val="32"/>
          <w:szCs w:val="40"/>
          <w:lang w:val="en-US" w:eastAsia="zh-CN" w:bidi="ar-SA"/>
        </w:rPr>
      </w:pPr>
      <w:r>
        <w:rPr>
          <w:rFonts w:hint="default" w:ascii="仿宋" w:hAnsi="仿宋" w:eastAsia="仿宋" w:cs="仿宋_GB2312"/>
          <w:kern w:val="2"/>
          <w:sz w:val="32"/>
          <w:szCs w:val="40"/>
          <w:lang w:val="en-US" w:eastAsia="zh-CN" w:bidi="ar-SA"/>
        </w:rPr>
        <w:t>目标。目标设定后如何科学设定考核评价标准，特别是对于不能量化的目标如何评价。</w:t>
      </w:r>
    </w:p>
    <w:p w14:paraId="71353AE8">
      <w:pPr>
        <w:pStyle w:val="2"/>
        <w:ind w:firstLine="640" w:firstLineChars="200"/>
        <w:rPr>
          <w:rFonts w:hint="default"/>
          <w:lang w:val="en-US" w:eastAsia="zh-CN"/>
        </w:rPr>
      </w:pPr>
      <w:r>
        <w:rPr>
          <w:rFonts w:hint="default" w:ascii="仿宋" w:hAnsi="仿宋" w:eastAsia="仿宋" w:cs="仿宋_GB2312"/>
          <w:kern w:val="2"/>
          <w:sz w:val="32"/>
          <w:szCs w:val="40"/>
          <w:lang w:val="en-US" w:eastAsia="zh-CN" w:bidi="ar-SA"/>
        </w:rPr>
        <w:t>2.财务管理方面，会计核算不够细致，对于有些能够细分的工作，未能详细核算，绩效评价基础数据不够精准。</w:t>
      </w:r>
    </w:p>
    <w:p w14:paraId="7EA719A9">
      <w:pPr>
        <w:numPr>
          <w:ilvl w:val="0"/>
          <w:numId w:val="3"/>
        </w:numPr>
        <w:ind w:left="0" w:leftChars="0" w:firstLine="420" w:firstLineChars="0"/>
        <w:jc w:val="left"/>
        <w:rPr>
          <w:rFonts w:hint="default" w:ascii="仿宋" w:hAnsi="仿宋" w:eastAsia="仿宋" w:cs="仿宋_GB2312"/>
          <w:sz w:val="32"/>
          <w:szCs w:val="40"/>
          <w:lang w:val="en-US" w:eastAsia="zh-CN"/>
        </w:rPr>
      </w:pPr>
      <w:r>
        <w:rPr>
          <w:rFonts w:hint="eastAsia" w:ascii="仿宋" w:hAnsi="仿宋" w:eastAsia="仿宋" w:cs="仿宋_GB2312"/>
          <w:sz w:val="32"/>
          <w:szCs w:val="40"/>
          <w:lang w:val="en-US" w:eastAsia="zh-CN"/>
        </w:rPr>
        <w:t>改进的方向和具体措施</w:t>
      </w:r>
    </w:p>
    <w:p w14:paraId="03F19239">
      <w:pPr>
        <w:pStyle w:val="2"/>
        <w:ind w:firstLine="640" w:firstLineChars="200"/>
        <w:rPr>
          <w:rFonts w:hint="default" w:ascii="仿宋" w:hAnsi="仿宋" w:eastAsia="仿宋" w:cs="仿宋_GB2312"/>
          <w:kern w:val="2"/>
          <w:sz w:val="32"/>
          <w:szCs w:val="40"/>
          <w:lang w:val="en-US" w:eastAsia="zh-CN" w:bidi="ar-SA"/>
        </w:rPr>
      </w:pPr>
      <w:r>
        <w:rPr>
          <w:rFonts w:hint="default" w:ascii="仿宋" w:hAnsi="仿宋" w:eastAsia="仿宋" w:cs="仿宋_GB2312"/>
          <w:kern w:val="2"/>
          <w:sz w:val="32"/>
          <w:szCs w:val="40"/>
          <w:lang w:val="en-US" w:eastAsia="zh-CN" w:bidi="ar-SA"/>
        </w:rPr>
        <w:t>1.学习如何科学合理制定绩效目标及考核体系，充分发</w:t>
      </w:r>
    </w:p>
    <w:p w14:paraId="634C172D">
      <w:pPr>
        <w:pStyle w:val="2"/>
        <w:rPr>
          <w:rFonts w:hint="default" w:ascii="仿宋" w:hAnsi="仿宋" w:eastAsia="仿宋" w:cs="仿宋_GB2312"/>
          <w:kern w:val="2"/>
          <w:sz w:val="32"/>
          <w:szCs w:val="40"/>
          <w:lang w:val="en-US" w:eastAsia="zh-CN" w:bidi="ar-SA"/>
        </w:rPr>
      </w:pPr>
      <w:r>
        <w:rPr>
          <w:rFonts w:hint="default" w:ascii="仿宋" w:hAnsi="仿宋" w:eastAsia="仿宋" w:cs="仿宋_GB2312"/>
          <w:kern w:val="2"/>
          <w:sz w:val="32"/>
          <w:szCs w:val="40"/>
          <w:lang w:val="en-US" w:eastAsia="zh-CN" w:bidi="ar-SA"/>
        </w:rPr>
        <w:t>挥绩效工作效用。</w:t>
      </w:r>
    </w:p>
    <w:p w14:paraId="11A5BEE5">
      <w:pPr>
        <w:pStyle w:val="2"/>
        <w:ind w:firstLine="640" w:firstLineChars="200"/>
        <w:rPr>
          <w:rFonts w:hint="default" w:ascii="仿宋" w:hAnsi="仿宋" w:eastAsia="仿宋" w:cs="仿宋_GB2312"/>
          <w:kern w:val="2"/>
          <w:sz w:val="32"/>
          <w:szCs w:val="40"/>
          <w:lang w:val="en-US" w:eastAsia="zh-CN" w:bidi="ar-SA"/>
        </w:rPr>
      </w:pPr>
      <w:r>
        <w:rPr>
          <w:rFonts w:hint="default" w:ascii="仿宋" w:hAnsi="仿宋" w:eastAsia="仿宋" w:cs="仿宋_GB2312"/>
          <w:kern w:val="2"/>
          <w:sz w:val="32"/>
          <w:szCs w:val="40"/>
          <w:lang w:val="en-US" w:eastAsia="zh-CN" w:bidi="ar-SA"/>
        </w:rPr>
        <w:t>2.对于能细分、归总的业务工作，效仿专项支出进行管理，以便更好的进行绩效评价，发现不足，提出改进。</w:t>
      </w:r>
    </w:p>
    <w:p w14:paraId="3327F587">
      <w:pPr>
        <w:pStyle w:val="2"/>
        <w:ind w:firstLine="640" w:firstLineChars="200"/>
        <w:rPr>
          <w:rFonts w:hint="default"/>
          <w:lang w:val="en-US" w:eastAsia="zh-CN"/>
        </w:rPr>
      </w:pPr>
      <w:r>
        <w:rPr>
          <w:rFonts w:hint="default" w:ascii="仿宋" w:hAnsi="仿宋" w:eastAsia="仿宋" w:cs="仿宋_GB2312"/>
          <w:kern w:val="2"/>
          <w:sz w:val="32"/>
          <w:szCs w:val="40"/>
          <w:lang w:val="en-US" w:eastAsia="zh-CN" w:bidi="ar-SA"/>
        </w:rPr>
        <w:t>3.财务上，会计核算要更加详细，为本单位各项工作的开展、总结、评估提供有效数据资料支撑，为各项业务工作更好得开展提供帮助。</w:t>
      </w:r>
    </w:p>
    <w:p w14:paraId="011EE339">
      <w:pPr>
        <w:numPr>
          <w:ilvl w:val="0"/>
          <w:numId w:val="2"/>
        </w:numPr>
        <w:jc w:val="left"/>
        <w:rPr>
          <w:rFonts w:hint="eastAsia" w:ascii="仿宋" w:hAnsi="仿宋" w:eastAsia="仿宋"/>
          <w:sz w:val="32"/>
          <w:szCs w:val="22"/>
        </w:rPr>
      </w:pPr>
      <w:r>
        <w:rPr>
          <w:rFonts w:hint="eastAsia" w:ascii="仿宋" w:hAnsi="仿宋" w:eastAsia="仿宋" w:cs="仿宋_GB2312"/>
          <w:sz w:val="32"/>
          <w:szCs w:val="40"/>
        </w:rPr>
        <w:t>绩效自评结果拟应用和公开情况</w:t>
      </w:r>
    </w:p>
    <w:p w14:paraId="6AD0A13B">
      <w:pPr>
        <w:numPr>
          <w:ilvl w:val="0"/>
          <w:numId w:val="0"/>
        </w:numPr>
        <w:ind w:firstLine="640" w:firstLineChars="200"/>
        <w:jc w:val="left"/>
        <w:rPr>
          <w:rFonts w:hint="default" w:ascii="仿宋" w:hAnsi="仿宋" w:eastAsia="仿宋" w:cs="仿宋_GB2312"/>
          <w:sz w:val="32"/>
          <w:szCs w:val="40"/>
          <w:lang w:val="en-US" w:eastAsia="zh-CN"/>
        </w:rPr>
      </w:pPr>
      <w:r>
        <w:rPr>
          <w:rFonts w:hint="default" w:ascii="仿宋" w:hAnsi="仿宋" w:eastAsia="仿宋" w:cs="仿宋_GB2312"/>
          <w:sz w:val="32"/>
          <w:szCs w:val="40"/>
          <w:lang w:val="en-US" w:eastAsia="zh-CN"/>
        </w:rPr>
        <w:t>根据相关要求进行公开，自评结果为</w:t>
      </w:r>
      <w:r>
        <w:rPr>
          <w:rFonts w:hint="eastAsia" w:ascii="仿宋" w:hAnsi="仿宋" w:eastAsia="仿宋" w:cs="仿宋_GB2312"/>
          <w:sz w:val="32"/>
          <w:szCs w:val="40"/>
          <w:lang w:val="en-US" w:eastAsia="zh-CN"/>
        </w:rPr>
        <w:t>100</w:t>
      </w:r>
      <w:r>
        <w:rPr>
          <w:rFonts w:hint="default" w:ascii="仿宋" w:hAnsi="仿宋" w:eastAsia="仿宋" w:cs="仿宋_GB2312"/>
          <w:sz w:val="32"/>
          <w:szCs w:val="40"/>
          <w:lang w:val="en-US" w:eastAsia="zh-CN"/>
        </w:rPr>
        <w:t>分，各项目完成情况良好。</w:t>
      </w:r>
    </w:p>
    <w:p w14:paraId="6AEB5F0E">
      <w:pPr>
        <w:spacing w:line="600" w:lineRule="exact"/>
        <w:rPr>
          <w:rFonts w:hint="eastAsia" w:ascii="仿宋" w:hAnsi="仿宋" w:eastAsia="仿宋" w:cs="仿宋_GB2312"/>
          <w:kern w:val="0"/>
          <w:sz w:val="32"/>
          <w:szCs w:val="32"/>
          <w:lang w:val="en-US" w:eastAsia="zh-CN"/>
        </w:rPr>
      </w:pPr>
    </w:p>
    <w:p w14:paraId="6A37C8C6">
      <w:pPr>
        <w:spacing w:line="600" w:lineRule="exact"/>
        <w:rPr>
          <w:rFonts w:hint="eastAsia" w:ascii="仿宋" w:hAnsi="仿宋" w:eastAsia="仿宋" w:cs="仿宋_GB2312"/>
          <w:kern w:val="0"/>
          <w:sz w:val="32"/>
          <w:szCs w:val="32"/>
          <w:lang w:val="en-US" w:eastAsia="zh-CN"/>
        </w:rPr>
      </w:pPr>
    </w:p>
    <w:p w14:paraId="2CFF473D">
      <w:pPr>
        <w:spacing w:line="600" w:lineRule="exact"/>
        <w:rPr>
          <w:rFonts w:hint="eastAsia" w:ascii="仿宋" w:hAnsi="仿宋" w:eastAsia="仿宋" w:cs="仿宋_GB2312"/>
          <w:kern w:val="0"/>
          <w:sz w:val="32"/>
          <w:szCs w:val="32"/>
          <w:lang w:val="en-US" w:eastAsia="zh-CN"/>
        </w:rPr>
      </w:pPr>
    </w:p>
    <w:p w14:paraId="03DEB92B">
      <w:pPr>
        <w:spacing w:line="600" w:lineRule="exact"/>
        <w:rPr>
          <w:rFonts w:hint="eastAsia" w:ascii="仿宋" w:hAnsi="仿宋" w:eastAsia="仿宋" w:cs="仿宋_GB2312"/>
          <w:kern w:val="0"/>
          <w:sz w:val="32"/>
          <w:szCs w:val="32"/>
          <w:lang w:val="en-US" w:eastAsia="zh-CN"/>
        </w:rPr>
      </w:pPr>
    </w:p>
    <w:p w14:paraId="7A4E0770">
      <w:pPr>
        <w:spacing w:line="600" w:lineRule="exact"/>
        <w:rPr>
          <w:rFonts w:hint="eastAsia" w:ascii="楷体_GB2312" w:hAnsi="黑体" w:eastAsia="楷体_GB2312"/>
          <w:b/>
          <w:sz w:val="36"/>
          <w:szCs w:val="36"/>
        </w:rPr>
      </w:pPr>
      <w:r>
        <w:rPr>
          <w:rFonts w:hint="eastAsia" w:ascii="仿宋" w:hAnsi="仿宋" w:eastAsia="仿宋" w:cs="仿宋_GB2312"/>
          <w:kern w:val="0"/>
          <w:sz w:val="32"/>
          <w:szCs w:val="32"/>
          <w:lang w:val="en-US" w:eastAsia="zh-CN"/>
        </w:rPr>
        <w:t>附：《项目支出绩效自评表》</w:t>
      </w:r>
    </w:p>
    <w:tbl>
      <w:tblPr>
        <w:tblStyle w:val="7"/>
        <w:tblW w:w="9080" w:type="dxa"/>
        <w:jc w:val="center"/>
        <w:tblLayout w:type="fixed"/>
        <w:tblCellMar>
          <w:top w:w="0" w:type="dxa"/>
          <w:left w:w="108" w:type="dxa"/>
          <w:bottom w:w="0" w:type="dxa"/>
          <w:right w:w="108" w:type="dxa"/>
        </w:tblCellMar>
      </w:tblPr>
      <w:tblGrid>
        <w:gridCol w:w="588"/>
        <w:gridCol w:w="980"/>
        <w:gridCol w:w="1048"/>
        <w:gridCol w:w="64"/>
        <w:gridCol w:w="985"/>
        <w:gridCol w:w="1033"/>
        <w:gridCol w:w="200"/>
        <w:gridCol w:w="650"/>
        <w:gridCol w:w="981"/>
        <w:gridCol w:w="283"/>
        <w:gridCol w:w="284"/>
        <w:gridCol w:w="425"/>
        <w:gridCol w:w="142"/>
        <w:gridCol w:w="709"/>
        <w:gridCol w:w="708"/>
      </w:tblGrid>
      <w:tr w14:paraId="327D9317">
        <w:trPr>
          <w:trHeight w:val="571" w:hRule="exact"/>
          <w:jc w:val="center"/>
        </w:trPr>
        <w:tc>
          <w:tcPr>
            <w:tcW w:w="9080" w:type="dxa"/>
            <w:gridSpan w:val="15"/>
            <w:tcBorders>
              <w:top w:val="nil"/>
              <w:left w:val="nil"/>
              <w:bottom w:val="nil"/>
              <w:right w:val="nil"/>
            </w:tcBorders>
            <w:noWrap w:val="0"/>
            <w:vAlign w:val="center"/>
          </w:tcPr>
          <w:p w14:paraId="7C938B69">
            <w:pPr>
              <w:widowControl/>
              <w:jc w:val="center"/>
              <w:rPr>
                <w:rFonts w:hint="eastAsia"/>
              </w:rPr>
            </w:pPr>
            <w:r>
              <w:rPr>
                <w:rFonts w:hint="eastAsia" w:ascii="宋体" w:hAnsi="宋体" w:eastAsia="宋体" w:cs="宋体"/>
                <w:b/>
                <w:bCs/>
                <w:kern w:val="0"/>
                <w:sz w:val="36"/>
                <w:szCs w:val="36"/>
              </w:rPr>
              <w:t>项目支出绩效自评表</w:t>
            </w:r>
          </w:p>
          <w:p w14:paraId="142568EC">
            <w:pPr>
              <w:pStyle w:val="2"/>
            </w:pPr>
          </w:p>
        </w:tc>
      </w:tr>
      <w:tr w14:paraId="073769B9">
        <w:tblPrEx>
          <w:tblCellMar>
            <w:top w:w="0" w:type="dxa"/>
            <w:left w:w="108" w:type="dxa"/>
            <w:bottom w:w="0" w:type="dxa"/>
            <w:right w:w="108" w:type="dxa"/>
          </w:tblCellMar>
        </w:tblPrEx>
        <w:trPr>
          <w:trHeight w:val="308" w:hRule="atLeast"/>
          <w:jc w:val="center"/>
        </w:trPr>
        <w:tc>
          <w:tcPr>
            <w:tcW w:w="9080" w:type="dxa"/>
            <w:gridSpan w:val="15"/>
            <w:tcBorders>
              <w:top w:val="nil"/>
              <w:left w:val="nil"/>
              <w:bottom w:val="nil"/>
              <w:right w:val="nil"/>
            </w:tcBorders>
            <w:noWrap w:val="0"/>
            <w:vAlign w:val="top"/>
          </w:tcPr>
          <w:p w14:paraId="1F5B3F58">
            <w:pPr>
              <w:widowControl/>
              <w:jc w:val="center"/>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2022</w:t>
            </w:r>
            <w:r>
              <w:rPr>
                <w:rFonts w:hint="eastAsia" w:ascii="宋体" w:hAnsi="宋体" w:eastAsia="宋体" w:cs="宋体"/>
                <w:kern w:val="0"/>
                <w:sz w:val="24"/>
                <w:szCs w:val="24"/>
              </w:rPr>
              <w:t>年度）</w:t>
            </w:r>
          </w:p>
        </w:tc>
      </w:tr>
      <w:tr w14:paraId="7849E9A6">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7BF1037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项目名称</w:t>
            </w:r>
          </w:p>
        </w:tc>
        <w:tc>
          <w:tcPr>
            <w:tcW w:w="7512" w:type="dxa"/>
            <w:gridSpan w:val="13"/>
            <w:tcBorders>
              <w:top w:val="single" w:color="auto" w:sz="4" w:space="0"/>
              <w:left w:val="nil"/>
              <w:bottom w:val="single" w:color="auto" w:sz="4" w:space="0"/>
              <w:right w:val="single" w:color="auto" w:sz="4" w:space="0"/>
            </w:tcBorders>
            <w:noWrap w:val="0"/>
            <w:vAlign w:val="center"/>
          </w:tcPr>
          <w:p w14:paraId="31E6DF3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春节及“八一”走访慰问</w:t>
            </w:r>
          </w:p>
        </w:tc>
      </w:tr>
      <w:tr w14:paraId="58117962">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71F4A67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主管部门</w:t>
            </w:r>
          </w:p>
        </w:tc>
        <w:tc>
          <w:tcPr>
            <w:tcW w:w="3980" w:type="dxa"/>
            <w:gridSpan w:val="6"/>
            <w:tcBorders>
              <w:top w:val="single" w:color="auto" w:sz="4" w:space="0"/>
              <w:left w:val="nil"/>
              <w:bottom w:val="single" w:color="auto" w:sz="4" w:space="0"/>
              <w:right w:val="single" w:color="auto" w:sz="4" w:space="0"/>
            </w:tcBorders>
            <w:noWrap w:val="0"/>
            <w:vAlign w:val="center"/>
          </w:tcPr>
          <w:p w14:paraId="3B617215">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c>
          <w:tcPr>
            <w:tcW w:w="1264" w:type="dxa"/>
            <w:gridSpan w:val="2"/>
            <w:tcBorders>
              <w:top w:val="nil"/>
              <w:left w:val="nil"/>
              <w:bottom w:val="single" w:color="auto" w:sz="4" w:space="0"/>
              <w:right w:val="single" w:color="auto" w:sz="4" w:space="0"/>
            </w:tcBorders>
            <w:noWrap w:val="0"/>
            <w:vAlign w:val="center"/>
          </w:tcPr>
          <w:p w14:paraId="731ECF8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67309300">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r>
      <w:tr w14:paraId="77D82BBE">
        <w:tblPrEx>
          <w:tblCellMar>
            <w:top w:w="0" w:type="dxa"/>
            <w:left w:w="108" w:type="dxa"/>
            <w:bottom w:w="0" w:type="dxa"/>
            <w:right w:w="108" w:type="dxa"/>
          </w:tblCellMar>
        </w:tblPrEx>
        <w:trPr>
          <w:trHeight w:val="52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D5D7E08">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项目资金</w:t>
            </w:r>
          </w:p>
          <w:p w14:paraId="56AAE2E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（万元）</w:t>
            </w:r>
          </w:p>
        </w:tc>
        <w:tc>
          <w:tcPr>
            <w:tcW w:w="2097" w:type="dxa"/>
            <w:gridSpan w:val="3"/>
            <w:tcBorders>
              <w:top w:val="single" w:color="auto" w:sz="4" w:space="0"/>
              <w:left w:val="nil"/>
              <w:bottom w:val="single" w:color="auto" w:sz="4" w:space="0"/>
              <w:right w:val="single" w:color="auto" w:sz="4" w:space="0"/>
            </w:tcBorders>
            <w:noWrap w:val="0"/>
            <w:vAlign w:val="center"/>
          </w:tcPr>
          <w:p w14:paraId="2465CCA7">
            <w:pPr>
              <w:widowControl/>
              <w:spacing w:line="240" w:lineRule="exact"/>
              <w:jc w:val="center"/>
              <w:rPr>
                <w:rFonts w:ascii="宋体" w:hAnsi="宋体" w:eastAsia="宋体" w:cs="宋体"/>
                <w:kern w:val="0"/>
                <w:sz w:val="20"/>
                <w:szCs w:val="20"/>
              </w:rPr>
            </w:pPr>
          </w:p>
        </w:tc>
        <w:tc>
          <w:tcPr>
            <w:tcW w:w="1033" w:type="dxa"/>
            <w:tcBorders>
              <w:top w:val="nil"/>
              <w:left w:val="nil"/>
              <w:bottom w:val="single" w:color="auto" w:sz="4" w:space="0"/>
              <w:right w:val="single" w:color="auto" w:sz="4" w:space="0"/>
            </w:tcBorders>
            <w:noWrap w:val="0"/>
            <w:vAlign w:val="center"/>
          </w:tcPr>
          <w:p w14:paraId="12259E7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年初预算数</w:t>
            </w:r>
          </w:p>
        </w:tc>
        <w:tc>
          <w:tcPr>
            <w:tcW w:w="850" w:type="dxa"/>
            <w:gridSpan w:val="2"/>
            <w:tcBorders>
              <w:top w:val="nil"/>
              <w:left w:val="nil"/>
              <w:bottom w:val="single" w:color="auto" w:sz="4" w:space="0"/>
              <w:right w:val="single" w:color="auto" w:sz="4" w:space="0"/>
            </w:tcBorders>
            <w:noWrap w:val="0"/>
            <w:vAlign w:val="center"/>
          </w:tcPr>
          <w:p w14:paraId="6D3757D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全年预算数</w:t>
            </w:r>
          </w:p>
        </w:tc>
        <w:tc>
          <w:tcPr>
            <w:tcW w:w="1264" w:type="dxa"/>
            <w:gridSpan w:val="2"/>
            <w:tcBorders>
              <w:top w:val="nil"/>
              <w:left w:val="nil"/>
              <w:bottom w:val="single" w:color="auto" w:sz="4" w:space="0"/>
              <w:right w:val="single" w:color="auto" w:sz="4" w:space="0"/>
            </w:tcBorders>
            <w:noWrap w:val="0"/>
            <w:vAlign w:val="center"/>
          </w:tcPr>
          <w:p w14:paraId="443E1DD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全年执行数</w:t>
            </w:r>
          </w:p>
        </w:tc>
        <w:tc>
          <w:tcPr>
            <w:tcW w:w="709" w:type="dxa"/>
            <w:gridSpan w:val="2"/>
            <w:tcBorders>
              <w:top w:val="nil"/>
              <w:left w:val="nil"/>
              <w:bottom w:val="single" w:color="auto" w:sz="4" w:space="0"/>
              <w:right w:val="single" w:color="auto" w:sz="4" w:space="0"/>
            </w:tcBorders>
            <w:noWrap w:val="0"/>
            <w:vAlign w:val="center"/>
          </w:tcPr>
          <w:p w14:paraId="3244124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5E463FB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执行率</w:t>
            </w:r>
          </w:p>
        </w:tc>
        <w:tc>
          <w:tcPr>
            <w:tcW w:w="708" w:type="dxa"/>
            <w:tcBorders>
              <w:top w:val="nil"/>
              <w:left w:val="nil"/>
              <w:bottom w:val="single" w:color="auto" w:sz="4" w:space="0"/>
              <w:right w:val="single" w:color="auto" w:sz="4" w:space="0"/>
            </w:tcBorders>
            <w:noWrap w:val="0"/>
            <w:vAlign w:val="center"/>
          </w:tcPr>
          <w:p w14:paraId="624453E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r>
      <w:tr w14:paraId="4C80F90A">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19C11CE">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14AEDA2B">
            <w:pPr>
              <w:widowControl/>
              <w:spacing w:line="240" w:lineRule="exact"/>
              <w:rPr>
                <w:rFonts w:ascii="宋体" w:hAnsi="宋体" w:eastAsia="宋体" w:cs="宋体"/>
                <w:kern w:val="0"/>
                <w:sz w:val="20"/>
                <w:szCs w:val="20"/>
              </w:rPr>
            </w:pPr>
            <w:r>
              <w:rPr>
                <w:rFonts w:hint="eastAsia" w:ascii="宋体" w:hAnsi="宋体" w:eastAsia="宋体" w:cs="宋体"/>
                <w:kern w:val="0"/>
                <w:sz w:val="20"/>
                <w:szCs w:val="20"/>
              </w:rPr>
              <w:t>年度资金总额</w:t>
            </w:r>
          </w:p>
        </w:tc>
        <w:tc>
          <w:tcPr>
            <w:tcW w:w="1033" w:type="dxa"/>
            <w:tcBorders>
              <w:top w:val="nil"/>
              <w:left w:val="nil"/>
              <w:bottom w:val="single" w:color="auto" w:sz="4" w:space="0"/>
              <w:right w:val="single" w:color="auto" w:sz="4" w:space="0"/>
            </w:tcBorders>
            <w:noWrap w:val="0"/>
            <w:vAlign w:val="center"/>
          </w:tcPr>
          <w:p w14:paraId="1EA4C483">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850" w:type="dxa"/>
            <w:gridSpan w:val="2"/>
            <w:tcBorders>
              <w:top w:val="nil"/>
              <w:left w:val="nil"/>
              <w:bottom w:val="single" w:color="auto" w:sz="4" w:space="0"/>
              <w:right w:val="single" w:color="auto" w:sz="4" w:space="0"/>
            </w:tcBorders>
            <w:noWrap w:val="0"/>
            <w:vAlign w:val="center"/>
          </w:tcPr>
          <w:p w14:paraId="6833913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1264" w:type="dxa"/>
            <w:gridSpan w:val="2"/>
            <w:tcBorders>
              <w:top w:val="nil"/>
              <w:left w:val="nil"/>
              <w:bottom w:val="single" w:color="auto" w:sz="4" w:space="0"/>
              <w:right w:val="single" w:color="auto" w:sz="4" w:space="0"/>
            </w:tcBorders>
            <w:noWrap w:val="0"/>
            <w:vAlign w:val="center"/>
          </w:tcPr>
          <w:p w14:paraId="232C8B54">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95.75</w:t>
            </w:r>
          </w:p>
        </w:tc>
        <w:tc>
          <w:tcPr>
            <w:tcW w:w="709" w:type="dxa"/>
            <w:gridSpan w:val="2"/>
            <w:tcBorders>
              <w:top w:val="nil"/>
              <w:left w:val="nil"/>
              <w:bottom w:val="single" w:color="auto" w:sz="4" w:space="0"/>
              <w:right w:val="single" w:color="auto" w:sz="4" w:space="0"/>
            </w:tcBorders>
            <w:noWrap w:val="0"/>
            <w:vAlign w:val="center"/>
          </w:tcPr>
          <w:p w14:paraId="5D2F128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6C8083A0">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95.75%</w:t>
            </w:r>
          </w:p>
        </w:tc>
        <w:tc>
          <w:tcPr>
            <w:tcW w:w="708" w:type="dxa"/>
            <w:tcBorders>
              <w:top w:val="nil"/>
              <w:left w:val="nil"/>
              <w:bottom w:val="single" w:color="auto" w:sz="4" w:space="0"/>
              <w:right w:val="single" w:color="auto" w:sz="4" w:space="0"/>
            </w:tcBorders>
            <w:noWrap w:val="0"/>
            <w:vAlign w:val="center"/>
          </w:tcPr>
          <w:p w14:paraId="2F6A139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r>
      <w:tr w14:paraId="2FCAEC80">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DB3F812">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1D2F0D3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其中：当年财政拨款</w:t>
            </w:r>
          </w:p>
        </w:tc>
        <w:tc>
          <w:tcPr>
            <w:tcW w:w="1033" w:type="dxa"/>
            <w:tcBorders>
              <w:top w:val="nil"/>
              <w:left w:val="nil"/>
              <w:bottom w:val="single" w:color="auto" w:sz="4" w:space="0"/>
              <w:right w:val="single" w:color="auto" w:sz="4" w:space="0"/>
            </w:tcBorders>
            <w:noWrap w:val="0"/>
            <w:vAlign w:val="center"/>
          </w:tcPr>
          <w:p w14:paraId="4117EB80">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850" w:type="dxa"/>
            <w:gridSpan w:val="2"/>
            <w:tcBorders>
              <w:top w:val="nil"/>
              <w:left w:val="nil"/>
              <w:bottom w:val="single" w:color="auto" w:sz="4" w:space="0"/>
              <w:right w:val="single" w:color="auto" w:sz="4" w:space="0"/>
            </w:tcBorders>
            <w:noWrap w:val="0"/>
            <w:vAlign w:val="center"/>
          </w:tcPr>
          <w:p w14:paraId="37EDFA39">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1264" w:type="dxa"/>
            <w:gridSpan w:val="2"/>
            <w:tcBorders>
              <w:top w:val="nil"/>
              <w:left w:val="nil"/>
              <w:bottom w:val="single" w:color="auto" w:sz="4" w:space="0"/>
              <w:right w:val="single" w:color="auto" w:sz="4" w:space="0"/>
            </w:tcBorders>
            <w:noWrap w:val="0"/>
            <w:vAlign w:val="center"/>
          </w:tcPr>
          <w:p w14:paraId="60D35479">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95.75</w:t>
            </w:r>
          </w:p>
        </w:tc>
        <w:tc>
          <w:tcPr>
            <w:tcW w:w="709" w:type="dxa"/>
            <w:gridSpan w:val="2"/>
            <w:tcBorders>
              <w:top w:val="nil"/>
              <w:left w:val="nil"/>
              <w:bottom w:val="single" w:color="auto" w:sz="4" w:space="0"/>
              <w:right w:val="single" w:color="auto" w:sz="4" w:space="0"/>
            </w:tcBorders>
            <w:noWrap w:val="0"/>
            <w:vAlign w:val="center"/>
          </w:tcPr>
          <w:p w14:paraId="43150AF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278D2445">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4E88158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403EC96A">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576C88C">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2FCB891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上年结转资金</w:t>
            </w:r>
          </w:p>
        </w:tc>
        <w:tc>
          <w:tcPr>
            <w:tcW w:w="1033" w:type="dxa"/>
            <w:tcBorders>
              <w:top w:val="nil"/>
              <w:left w:val="nil"/>
              <w:bottom w:val="single" w:color="auto" w:sz="4" w:space="0"/>
              <w:right w:val="single" w:color="auto" w:sz="4" w:space="0"/>
            </w:tcBorders>
            <w:noWrap w:val="0"/>
            <w:vAlign w:val="center"/>
          </w:tcPr>
          <w:p w14:paraId="02E1261A">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4BFBE2CB">
            <w:pPr>
              <w:widowControl/>
              <w:spacing w:line="240" w:lineRule="exact"/>
              <w:jc w:val="center"/>
              <w:rPr>
                <w:rFonts w:ascii="宋体" w:hAnsi="宋体" w:eastAsia="宋体" w:cs="宋体"/>
                <w:kern w:val="0"/>
                <w:sz w:val="20"/>
                <w:szCs w:val="20"/>
              </w:rPr>
            </w:pPr>
          </w:p>
        </w:tc>
        <w:tc>
          <w:tcPr>
            <w:tcW w:w="1264" w:type="dxa"/>
            <w:gridSpan w:val="2"/>
            <w:tcBorders>
              <w:top w:val="nil"/>
              <w:left w:val="nil"/>
              <w:bottom w:val="single" w:color="auto" w:sz="4" w:space="0"/>
              <w:right w:val="single" w:color="auto" w:sz="4" w:space="0"/>
            </w:tcBorders>
            <w:noWrap w:val="0"/>
            <w:vAlign w:val="center"/>
          </w:tcPr>
          <w:p w14:paraId="642E498E">
            <w:pPr>
              <w:widowControl/>
              <w:spacing w:line="240" w:lineRule="exact"/>
              <w:jc w:val="center"/>
              <w:rPr>
                <w:rFonts w:ascii="宋体" w:hAnsi="宋体" w:eastAsia="宋体" w:cs="宋体"/>
                <w:kern w:val="0"/>
                <w:sz w:val="20"/>
                <w:szCs w:val="20"/>
              </w:rPr>
            </w:pPr>
          </w:p>
        </w:tc>
        <w:tc>
          <w:tcPr>
            <w:tcW w:w="709" w:type="dxa"/>
            <w:gridSpan w:val="2"/>
            <w:tcBorders>
              <w:top w:val="nil"/>
              <w:left w:val="nil"/>
              <w:bottom w:val="single" w:color="auto" w:sz="4" w:space="0"/>
              <w:right w:val="single" w:color="auto" w:sz="4" w:space="0"/>
            </w:tcBorders>
            <w:noWrap w:val="0"/>
            <w:vAlign w:val="center"/>
          </w:tcPr>
          <w:p w14:paraId="5507127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61DF858">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12E8B64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3458AF64">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8491324">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2046183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其他资金</w:t>
            </w:r>
          </w:p>
        </w:tc>
        <w:tc>
          <w:tcPr>
            <w:tcW w:w="1033" w:type="dxa"/>
            <w:tcBorders>
              <w:top w:val="nil"/>
              <w:left w:val="nil"/>
              <w:bottom w:val="single" w:color="auto" w:sz="4" w:space="0"/>
              <w:right w:val="single" w:color="auto" w:sz="4" w:space="0"/>
            </w:tcBorders>
            <w:noWrap w:val="0"/>
            <w:vAlign w:val="center"/>
          </w:tcPr>
          <w:p w14:paraId="13D408D1">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7AB001F4">
            <w:pPr>
              <w:widowControl/>
              <w:spacing w:line="240" w:lineRule="exact"/>
              <w:jc w:val="center"/>
              <w:rPr>
                <w:rFonts w:hint="default" w:ascii="宋体" w:hAnsi="宋体" w:eastAsia="宋体" w:cs="宋体"/>
                <w:kern w:val="0"/>
                <w:sz w:val="20"/>
                <w:szCs w:val="20"/>
                <w:lang w:val="en-US" w:eastAsia="zh-CN"/>
              </w:rPr>
            </w:pPr>
          </w:p>
        </w:tc>
        <w:tc>
          <w:tcPr>
            <w:tcW w:w="1264" w:type="dxa"/>
            <w:gridSpan w:val="2"/>
            <w:tcBorders>
              <w:top w:val="nil"/>
              <w:left w:val="nil"/>
              <w:bottom w:val="single" w:color="auto" w:sz="4" w:space="0"/>
              <w:right w:val="single" w:color="auto" w:sz="4" w:space="0"/>
            </w:tcBorders>
            <w:noWrap w:val="0"/>
            <w:vAlign w:val="center"/>
          </w:tcPr>
          <w:p w14:paraId="7C27E241">
            <w:pPr>
              <w:widowControl/>
              <w:spacing w:line="240" w:lineRule="exact"/>
              <w:jc w:val="center"/>
              <w:rPr>
                <w:rFonts w:hint="default" w:ascii="宋体" w:hAnsi="宋体" w:eastAsia="宋体" w:cs="宋体"/>
                <w:kern w:val="0"/>
                <w:sz w:val="20"/>
                <w:szCs w:val="20"/>
                <w:lang w:val="en-US" w:eastAsia="zh-CN"/>
              </w:rPr>
            </w:pPr>
          </w:p>
        </w:tc>
        <w:tc>
          <w:tcPr>
            <w:tcW w:w="709" w:type="dxa"/>
            <w:gridSpan w:val="2"/>
            <w:tcBorders>
              <w:top w:val="nil"/>
              <w:left w:val="nil"/>
              <w:bottom w:val="single" w:color="auto" w:sz="4" w:space="0"/>
              <w:right w:val="single" w:color="auto" w:sz="4" w:space="0"/>
            </w:tcBorders>
            <w:noWrap w:val="0"/>
            <w:vAlign w:val="center"/>
          </w:tcPr>
          <w:p w14:paraId="704A65C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E55CBAB">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4C3E463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049A8175">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63C16EA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年度总体目标</w:t>
            </w:r>
          </w:p>
        </w:tc>
        <w:tc>
          <w:tcPr>
            <w:tcW w:w="4960" w:type="dxa"/>
            <w:gridSpan w:val="7"/>
            <w:tcBorders>
              <w:top w:val="single" w:color="auto" w:sz="4" w:space="0"/>
              <w:left w:val="nil"/>
              <w:bottom w:val="single" w:color="auto" w:sz="4" w:space="0"/>
              <w:right w:val="single" w:color="auto" w:sz="4" w:space="0"/>
            </w:tcBorders>
            <w:noWrap w:val="0"/>
            <w:vAlign w:val="center"/>
          </w:tcPr>
          <w:p w14:paraId="7A93DF0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预期目标</w:t>
            </w:r>
          </w:p>
        </w:tc>
        <w:tc>
          <w:tcPr>
            <w:tcW w:w="3532" w:type="dxa"/>
            <w:gridSpan w:val="7"/>
            <w:tcBorders>
              <w:top w:val="single" w:color="auto" w:sz="4" w:space="0"/>
              <w:left w:val="nil"/>
              <w:bottom w:val="single" w:color="auto" w:sz="4" w:space="0"/>
              <w:right w:val="single" w:color="auto" w:sz="4" w:space="0"/>
            </w:tcBorders>
            <w:noWrap w:val="0"/>
            <w:vAlign w:val="center"/>
          </w:tcPr>
          <w:p w14:paraId="5D9ED39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实际完成情况</w:t>
            </w:r>
          </w:p>
        </w:tc>
      </w:tr>
      <w:tr w14:paraId="4BD101FC">
        <w:tblPrEx>
          <w:tblCellMar>
            <w:top w:w="0" w:type="dxa"/>
            <w:left w:w="108" w:type="dxa"/>
            <w:bottom w:w="0" w:type="dxa"/>
            <w:right w:w="108" w:type="dxa"/>
          </w:tblCellMar>
        </w:tblPrEx>
        <w:trPr>
          <w:trHeight w:val="112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2E0EBFCC">
            <w:pPr>
              <w:widowControl/>
              <w:spacing w:line="240" w:lineRule="exact"/>
              <w:jc w:val="center"/>
              <w:rPr>
                <w:rFonts w:ascii="宋体" w:hAnsi="宋体" w:eastAsia="宋体" w:cs="宋体"/>
                <w:kern w:val="0"/>
                <w:sz w:val="20"/>
                <w:szCs w:val="20"/>
              </w:rPr>
            </w:pPr>
          </w:p>
        </w:tc>
        <w:tc>
          <w:tcPr>
            <w:tcW w:w="4960" w:type="dxa"/>
            <w:gridSpan w:val="7"/>
            <w:tcBorders>
              <w:top w:val="single" w:color="auto" w:sz="4" w:space="0"/>
              <w:left w:val="nil"/>
              <w:bottom w:val="single" w:color="auto" w:sz="4" w:space="0"/>
              <w:right w:val="single" w:color="auto" w:sz="4" w:space="0"/>
            </w:tcBorders>
            <w:noWrap w:val="0"/>
            <w:vAlign w:val="center"/>
          </w:tcPr>
          <w:p w14:paraId="7C4A20A2">
            <w:pPr>
              <w:widowControl/>
              <w:spacing w:line="240" w:lineRule="exact"/>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完成各驻景部队的春节及八一慰问，完成慰问老战士和重点优抚对象、军休干部等人。</w:t>
            </w:r>
          </w:p>
        </w:tc>
        <w:tc>
          <w:tcPr>
            <w:tcW w:w="3532" w:type="dxa"/>
            <w:gridSpan w:val="7"/>
            <w:tcBorders>
              <w:top w:val="single" w:color="auto" w:sz="4" w:space="0"/>
              <w:left w:val="nil"/>
              <w:bottom w:val="single" w:color="auto" w:sz="4" w:space="0"/>
              <w:right w:val="single" w:color="auto" w:sz="4" w:space="0"/>
            </w:tcBorders>
            <w:noWrap w:val="0"/>
            <w:vAlign w:val="center"/>
          </w:tcPr>
          <w:p w14:paraId="75EC317F">
            <w:pPr>
              <w:widowControl/>
              <w:spacing w:line="240" w:lineRule="exact"/>
              <w:jc w:val="left"/>
              <w:rPr>
                <w:rFonts w:ascii="宋体" w:hAnsi="宋体" w:eastAsia="宋体" w:cs="宋体"/>
                <w:kern w:val="0"/>
                <w:sz w:val="20"/>
                <w:szCs w:val="20"/>
              </w:rPr>
            </w:pPr>
            <w:r>
              <w:rPr>
                <w:rFonts w:hint="eastAsia" w:ascii="宋体" w:hAnsi="宋体" w:eastAsia="宋体" w:cs="宋体"/>
                <w:kern w:val="0"/>
                <w:sz w:val="20"/>
                <w:szCs w:val="20"/>
                <w:lang w:val="en-US" w:eastAsia="zh-CN"/>
              </w:rPr>
              <w:t>完成各驻景部队的春节及八一慰问，完成慰问老战士和重点优抚对象、军休干部等人。</w:t>
            </w:r>
          </w:p>
        </w:tc>
      </w:tr>
      <w:tr w14:paraId="4D9CBCC1">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43A5181C">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绩</w:t>
            </w:r>
          </w:p>
          <w:p w14:paraId="004EC3E7">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效</w:t>
            </w:r>
          </w:p>
          <w:p w14:paraId="0B906204">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指</w:t>
            </w:r>
          </w:p>
          <w:p w14:paraId="5CC0977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标</w:t>
            </w:r>
          </w:p>
        </w:tc>
        <w:tc>
          <w:tcPr>
            <w:tcW w:w="980" w:type="dxa"/>
            <w:tcBorders>
              <w:top w:val="nil"/>
              <w:left w:val="nil"/>
              <w:bottom w:val="single" w:color="auto" w:sz="4" w:space="0"/>
              <w:right w:val="single" w:color="auto" w:sz="4" w:space="0"/>
            </w:tcBorders>
            <w:noWrap w:val="0"/>
            <w:vAlign w:val="center"/>
          </w:tcPr>
          <w:p w14:paraId="74108B9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一级指标</w:t>
            </w:r>
          </w:p>
        </w:tc>
        <w:tc>
          <w:tcPr>
            <w:tcW w:w="1048" w:type="dxa"/>
            <w:tcBorders>
              <w:top w:val="nil"/>
              <w:left w:val="nil"/>
              <w:bottom w:val="single" w:color="auto" w:sz="4" w:space="0"/>
              <w:right w:val="single" w:color="auto" w:sz="4" w:space="0"/>
            </w:tcBorders>
            <w:noWrap w:val="0"/>
            <w:vAlign w:val="center"/>
          </w:tcPr>
          <w:p w14:paraId="6846222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二级指标</w:t>
            </w:r>
          </w:p>
        </w:tc>
        <w:tc>
          <w:tcPr>
            <w:tcW w:w="2282" w:type="dxa"/>
            <w:gridSpan w:val="4"/>
            <w:tcBorders>
              <w:top w:val="single" w:color="auto" w:sz="4" w:space="0"/>
              <w:left w:val="nil"/>
              <w:bottom w:val="single" w:color="auto" w:sz="4" w:space="0"/>
              <w:right w:val="single" w:color="auto" w:sz="4" w:space="0"/>
            </w:tcBorders>
            <w:noWrap w:val="0"/>
            <w:vAlign w:val="center"/>
          </w:tcPr>
          <w:p w14:paraId="6FB5542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三级指标</w:t>
            </w:r>
          </w:p>
        </w:tc>
        <w:tc>
          <w:tcPr>
            <w:tcW w:w="650" w:type="dxa"/>
            <w:tcBorders>
              <w:top w:val="nil"/>
              <w:left w:val="nil"/>
              <w:bottom w:val="single" w:color="auto" w:sz="4" w:space="0"/>
              <w:right w:val="single" w:color="auto" w:sz="4" w:space="0"/>
            </w:tcBorders>
            <w:noWrap w:val="0"/>
            <w:vAlign w:val="center"/>
          </w:tcPr>
          <w:p w14:paraId="5D7973C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w:t>
            </w:r>
          </w:p>
          <w:p w14:paraId="0F8379F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指标值</w:t>
            </w:r>
          </w:p>
        </w:tc>
        <w:tc>
          <w:tcPr>
            <w:tcW w:w="981" w:type="dxa"/>
            <w:tcBorders>
              <w:top w:val="nil"/>
              <w:left w:val="nil"/>
              <w:bottom w:val="single" w:color="auto" w:sz="4" w:space="0"/>
              <w:right w:val="single" w:color="auto" w:sz="4" w:space="0"/>
            </w:tcBorders>
            <w:noWrap w:val="0"/>
            <w:vAlign w:val="center"/>
          </w:tcPr>
          <w:p w14:paraId="5D7E418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w:t>
            </w:r>
          </w:p>
          <w:p w14:paraId="4A3A4A6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完成值</w:t>
            </w:r>
          </w:p>
        </w:tc>
        <w:tc>
          <w:tcPr>
            <w:tcW w:w="567" w:type="dxa"/>
            <w:gridSpan w:val="2"/>
            <w:tcBorders>
              <w:top w:val="nil"/>
              <w:left w:val="nil"/>
              <w:bottom w:val="single" w:color="auto" w:sz="4" w:space="0"/>
              <w:right w:val="single" w:color="auto" w:sz="4" w:space="0"/>
            </w:tcBorders>
            <w:noWrap w:val="0"/>
            <w:vAlign w:val="center"/>
          </w:tcPr>
          <w:p w14:paraId="21AF217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567" w:type="dxa"/>
            <w:gridSpan w:val="2"/>
            <w:tcBorders>
              <w:top w:val="nil"/>
              <w:left w:val="nil"/>
              <w:bottom w:val="single" w:color="auto" w:sz="4" w:space="0"/>
              <w:right w:val="single" w:color="auto" w:sz="4" w:space="0"/>
            </w:tcBorders>
            <w:noWrap w:val="0"/>
            <w:vAlign w:val="center"/>
          </w:tcPr>
          <w:p w14:paraId="5795272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45EE584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偏差原因分析及改进措施</w:t>
            </w:r>
          </w:p>
        </w:tc>
      </w:tr>
      <w:tr w14:paraId="6F5A2B3F">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14:paraId="0E0DC935">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19E9965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产出指标</w:t>
            </w:r>
          </w:p>
        </w:tc>
        <w:tc>
          <w:tcPr>
            <w:tcW w:w="1048" w:type="dxa"/>
            <w:vMerge w:val="restart"/>
            <w:tcBorders>
              <w:top w:val="nil"/>
              <w:left w:val="single" w:color="auto" w:sz="4" w:space="0"/>
              <w:bottom w:val="single" w:color="auto" w:sz="4" w:space="0"/>
              <w:right w:val="single" w:color="auto" w:sz="4" w:space="0"/>
            </w:tcBorders>
            <w:noWrap w:val="0"/>
            <w:vAlign w:val="center"/>
          </w:tcPr>
          <w:p w14:paraId="2E48BFB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2282" w:type="dxa"/>
            <w:gridSpan w:val="4"/>
            <w:tcBorders>
              <w:top w:val="single" w:color="auto" w:sz="4" w:space="0"/>
              <w:left w:val="nil"/>
              <w:bottom w:val="single" w:color="auto" w:sz="4" w:space="0"/>
              <w:right w:val="single" w:color="auto" w:sz="4" w:space="0"/>
            </w:tcBorders>
            <w:noWrap w:val="0"/>
            <w:vAlign w:val="center"/>
          </w:tcPr>
          <w:p w14:paraId="41561392">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指标1：驻景部队走访完成率</w:t>
            </w:r>
          </w:p>
        </w:tc>
        <w:tc>
          <w:tcPr>
            <w:tcW w:w="650" w:type="dxa"/>
            <w:tcBorders>
              <w:top w:val="nil"/>
              <w:left w:val="nil"/>
              <w:bottom w:val="single" w:color="auto" w:sz="4" w:space="0"/>
              <w:right w:val="single" w:color="auto" w:sz="4" w:space="0"/>
            </w:tcBorders>
            <w:noWrap w:val="0"/>
            <w:vAlign w:val="center"/>
          </w:tcPr>
          <w:p w14:paraId="49532751">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383C5B75">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40438E41">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2C8BBF69">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3557432A">
            <w:pPr>
              <w:widowControl/>
              <w:spacing w:line="240" w:lineRule="exact"/>
              <w:jc w:val="center"/>
              <w:rPr>
                <w:rFonts w:ascii="宋体" w:hAnsi="宋体" w:eastAsia="宋体" w:cs="宋体"/>
                <w:kern w:val="0"/>
                <w:sz w:val="20"/>
                <w:szCs w:val="20"/>
              </w:rPr>
            </w:pPr>
          </w:p>
        </w:tc>
      </w:tr>
      <w:tr w14:paraId="35DE1BFD">
        <w:tblPrEx>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14:paraId="0FF87747">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A66C982">
            <w:pPr>
              <w:widowControl/>
              <w:spacing w:line="240" w:lineRule="exact"/>
              <w:jc w:val="center"/>
              <w:rPr>
                <w:rFonts w:ascii="宋体" w:hAnsi="宋体" w:eastAsia="宋体" w:cs="宋体"/>
                <w:kern w:val="0"/>
                <w:sz w:val="20"/>
                <w:szCs w:val="20"/>
              </w:rPr>
            </w:pPr>
          </w:p>
        </w:tc>
        <w:tc>
          <w:tcPr>
            <w:tcW w:w="1048" w:type="dxa"/>
            <w:vMerge w:val="continue"/>
            <w:tcBorders>
              <w:top w:val="nil"/>
              <w:left w:val="single" w:color="auto" w:sz="4" w:space="0"/>
              <w:bottom w:val="single" w:color="auto" w:sz="4" w:space="0"/>
              <w:right w:val="single" w:color="auto" w:sz="4" w:space="0"/>
            </w:tcBorders>
            <w:noWrap w:val="0"/>
            <w:vAlign w:val="center"/>
          </w:tcPr>
          <w:p w14:paraId="70178A91">
            <w:pPr>
              <w:widowControl/>
              <w:spacing w:line="240" w:lineRule="exact"/>
              <w:jc w:val="center"/>
              <w:rPr>
                <w:rFonts w:ascii="宋体" w:hAnsi="宋体" w:eastAsia="宋体" w:cs="宋体"/>
                <w:kern w:val="0"/>
                <w:sz w:val="20"/>
                <w:szCs w:val="20"/>
              </w:rPr>
            </w:pPr>
          </w:p>
        </w:tc>
        <w:tc>
          <w:tcPr>
            <w:tcW w:w="2282" w:type="dxa"/>
            <w:gridSpan w:val="4"/>
            <w:tcBorders>
              <w:top w:val="single" w:color="auto" w:sz="4" w:space="0"/>
              <w:left w:val="nil"/>
              <w:bottom w:val="single" w:color="auto" w:sz="4" w:space="0"/>
              <w:right w:val="single" w:color="auto" w:sz="4" w:space="0"/>
            </w:tcBorders>
            <w:noWrap w:val="0"/>
            <w:vAlign w:val="center"/>
          </w:tcPr>
          <w:p w14:paraId="75DC2203">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指标2：春节及八一走访慰问次数</w:t>
            </w:r>
          </w:p>
        </w:tc>
        <w:tc>
          <w:tcPr>
            <w:tcW w:w="650" w:type="dxa"/>
            <w:tcBorders>
              <w:top w:val="nil"/>
              <w:left w:val="nil"/>
              <w:bottom w:val="single" w:color="auto" w:sz="4" w:space="0"/>
              <w:right w:val="single" w:color="auto" w:sz="4" w:space="0"/>
            </w:tcBorders>
            <w:noWrap w:val="0"/>
            <w:vAlign w:val="center"/>
          </w:tcPr>
          <w:p w14:paraId="2EECC4BB">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2次</w:t>
            </w:r>
          </w:p>
        </w:tc>
        <w:tc>
          <w:tcPr>
            <w:tcW w:w="981" w:type="dxa"/>
            <w:tcBorders>
              <w:top w:val="nil"/>
              <w:left w:val="nil"/>
              <w:bottom w:val="single" w:color="auto" w:sz="4" w:space="0"/>
              <w:right w:val="single" w:color="auto" w:sz="4" w:space="0"/>
            </w:tcBorders>
            <w:noWrap w:val="0"/>
            <w:vAlign w:val="center"/>
          </w:tcPr>
          <w:p w14:paraId="1577E3C4">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2次</w:t>
            </w:r>
          </w:p>
        </w:tc>
        <w:tc>
          <w:tcPr>
            <w:tcW w:w="567" w:type="dxa"/>
            <w:gridSpan w:val="2"/>
            <w:tcBorders>
              <w:top w:val="nil"/>
              <w:left w:val="nil"/>
              <w:bottom w:val="single" w:color="auto" w:sz="4" w:space="0"/>
              <w:right w:val="single" w:color="auto" w:sz="4" w:space="0"/>
            </w:tcBorders>
            <w:noWrap w:val="0"/>
            <w:vAlign w:val="center"/>
          </w:tcPr>
          <w:p w14:paraId="5B20A610">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012DF1CF">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4E024E25">
            <w:pPr>
              <w:widowControl/>
              <w:spacing w:line="240" w:lineRule="exact"/>
              <w:jc w:val="center"/>
              <w:rPr>
                <w:rFonts w:ascii="宋体" w:hAnsi="宋体" w:eastAsia="宋体" w:cs="宋体"/>
                <w:kern w:val="0"/>
                <w:sz w:val="20"/>
                <w:szCs w:val="20"/>
              </w:rPr>
            </w:pPr>
          </w:p>
        </w:tc>
      </w:tr>
      <w:tr w14:paraId="5BCCD2D5">
        <w:tblPrEx>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14:paraId="6DAAA835">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9CD6576">
            <w:pPr>
              <w:widowControl/>
              <w:spacing w:line="240" w:lineRule="exact"/>
              <w:jc w:val="center"/>
              <w:rPr>
                <w:rFonts w:ascii="宋体" w:hAnsi="宋体" w:eastAsia="宋体" w:cs="宋体"/>
                <w:kern w:val="0"/>
                <w:sz w:val="20"/>
                <w:szCs w:val="20"/>
              </w:rPr>
            </w:pPr>
          </w:p>
        </w:tc>
        <w:tc>
          <w:tcPr>
            <w:tcW w:w="1048" w:type="dxa"/>
            <w:tcBorders>
              <w:top w:val="nil"/>
              <w:left w:val="single" w:color="auto" w:sz="4" w:space="0"/>
              <w:bottom w:val="single" w:color="auto" w:sz="4" w:space="0"/>
              <w:right w:val="single" w:color="auto" w:sz="4" w:space="0"/>
            </w:tcBorders>
            <w:noWrap w:val="0"/>
            <w:vAlign w:val="center"/>
          </w:tcPr>
          <w:p w14:paraId="0E9D1D9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2282" w:type="dxa"/>
            <w:gridSpan w:val="4"/>
            <w:tcBorders>
              <w:top w:val="single" w:color="auto" w:sz="4" w:space="0"/>
              <w:left w:val="nil"/>
              <w:bottom w:val="single" w:color="auto" w:sz="4" w:space="0"/>
              <w:right w:val="single" w:color="auto" w:sz="4" w:space="0"/>
            </w:tcBorders>
            <w:noWrap w:val="0"/>
            <w:vAlign w:val="center"/>
          </w:tcPr>
          <w:p w14:paraId="5AD04F52">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指标1：走访慰问资金使用合规率</w:t>
            </w:r>
          </w:p>
        </w:tc>
        <w:tc>
          <w:tcPr>
            <w:tcW w:w="650" w:type="dxa"/>
            <w:tcBorders>
              <w:top w:val="nil"/>
              <w:left w:val="nil"/>
              <w:bottom w:val="single" w:color="auto" w:sz="4" w:space="0"/>
              <w:right w:val="single" w:color="auto" w:sz="4" w:space="0"/>
            </w:tcBorders>
            <w:noWrap w:val="0"/>
            <w:vAlign w:val="center"/>
          </w:tcPr>
          <w:p w14:paraId="364DA11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796D8800">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581E91C6">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0478E625">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4F258906">
            <w:pPr>
              <w:widowControl/>
              <w:spacing w:line="240" w:lineRule="exact"/>
              <w:jc w:val="center"/>
              <w:rPr>
                <w:rFonts w:ascii="宋体" w:hAnsi="宋体" w:eastAsia="宋体" w:cs="宋体"/>
                <w:kern w:val="0"/>
                <w:sz w:val="20"/>
                <w:szCs w:val="20"/>
              </w:rPr>
            </w:pPr>
          </w:p>
        </w:tc>
      </w:tr>
      <w:tr w14:paraId="2A1FDC37">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5604A413">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E6273DD">
            <w:pPr>
              <w:widowControl/>
              <w:spacing w:line="240" w:lineRule="exact"/>
              <w:jc w:val="center"/>
              <w:rPr>
                <w:rFonts w:ascii="宋体" w:hAnsi="宋体" w:eastAsia="宋体" w:cs="宋体"/>
                <w:kern w:val="0"/>
                <w:sz w:val="20"/>
                <w:szCs w:val="20"/>
              </w:rPr>
            </w:pPr>
          </w:p>
        </w:tc>
        <w:tc>
          <w:tcPr>
            <w:tcW w:w="1048" w:type="dxa"/>
            <w:tcBorders>
              <w:top w:val="nil"/>
              <w:left w:val="single" w:color="auto" w:sz="4" w:space="0"/>
              <w:bottom w:val="single" w:color="auto" w:sz="4" w:space="0"/>
              <w:right w:val="single" w:color="auto" w:sz="4" w:space="0"/>
            </w:tcBorders>
            <w:noWrap w:val="0"/>
            <w:vAlign w:val="center"/>
          </w:tcPr>
          <w:p w14:paraId="3C5C998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2282" w:type="dxa"/>
            <w:gridSpan w:val="4"/>
            <w:tcBorders>
              <w:top w:val="single" w:color="auto" w:sz="4" w:space="0"/>
              <w:left w:val="nil"/>
              <w:bottom w:val="single" w:color="auto" w:sz="4" w:space="0"/>
              <w:right w:val="single" w:color="auto" w:sz="4" w:space="0"/>
            </w:tcBorders>
            <w:noWrap w:val="0"/>
            <w:vAlign w:val="center"/>
          </w:tcPr>
          <w:p w14:paraId="41B4735A">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指标1：走访慰问工作及时性</w:t>
            </w:r>
          </w:p>
        </w:tc>
        <w:tc>
          <w:tcPr>
            <w:tcW w:w="650" w:type="dxa"/>
            <w:tcBorders>
              <w:top w:val="nil"/>
              <w:left w:val="nil"/>
              <w:bottom w:val="single" w:color="auto" w:sz="4" w:space="0"/>
              <w:right w:val="single" w:color="auto" w:sz="4" w:space="0"/>
            </w:tcBorders>
            <w:noWrap w:val="0"/>
            <w:vAlign w:val="center"/>
          </w:tcPr>
          <w:p w14:paraId="3BCC2C6A">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627CC49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074445A6">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AAEA447">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7CEBCFDC">
            <w:pPr>
              <w:widowControl/>
              <w:spacing w:line="240" w:lineRule="exact"/>
              <w:jc w:val="center"/>
              <w:rPr>
                <w:rFonts w:ascii="宋体" w:hAnsi="宋体" w:eastAsia="宋体" w:cs="宋体"/>
                <w:kern w:val="0"/>
                <w:sz w:val="20"/>
                <w:szCs w:val="20"/>
              </w:rPr>
            </w:pPr>
          </w:p>
        </w:tc>
      </w:tr>
      <w:tr w14:paraId="6225520B">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2212303B">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6DB2A53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效益指标</w:t>
            </w:r>
          </w:p>
        </w:tc>
        <w:tc>
          <w:tcPr>
            <w:tcW w:w="1048" w:type="dxa"/>
            <w:vMerge w:val="restart"/>
            <w:tcBorders>
              <w:top w:val="nil"/>
              <w:left w:val="single" w:color="auto" w:sz="4" w:space="0"/>
              <w:right w:val="single" w:color="auto" w:sz="4" w:space="0"/>
            </w:tcBorders>
            <w:noWrap w:val="0"/>
            <w:vAlign w:val="center"/>
          </w:tcPr>
          <w:p w14:paraId="2176ACD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经济效益</w:t>
            </w:r>
          </w:p>
          <w:p w14:paraId="5A7C523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p w14:paraId="638FB565">
            <w:pPr>
              <w:widowControl/>
              <w:spacing w:line="240" w:lineRule="exact"/>
              <w:jc w:val="center"/>
              <w:rPr>
                <w:rFonts w:hint="eastAsia" w:ascii="宋体" w:hAnsi="宋体" w:eastAsia="宋体" w:cs="宋体"/>
                <w:kern w:val="0"/>
                <w:sz w:val="20"/>
                <w:szCs w:val="20"/>
              </w:rPr>
            </w:pPr>
          </w:p>
        </w:tc>
        <w:tc>
          <w:tcPr>
            <w:tcW w:w="2282" w:type="dxa"/>
            <w:gridSpan w:val="4"/>
            <w:tcBorders>
              <w:top w:val="single" w:color="auto" w:sz="4" w:space="0"/>
              <w:left w:val="nil"/>
              <w:bottom w:val="single" w:color="auto" w:sz="4" w:space="0"/>
              <w:right w:val="single" w:color="auto" w:sz="4" w:space="0"/>
            </w:tcBorders>
            <w:noWrap w:val="0"/>
            <w:vAlign w:val="center"/>
          </w:tcPr>
          <w:p w14:paraId="4ABC9CDC">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34D0EF2D">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C19A773">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0AE4B274">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67BB507">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45630297">
            <w:pPr>
              <w:widowControl/>
              <w:spacing w:line="240" w:lineRule="exact"/>
              <w:jc w:val="center"/>
              <w:rPr>
                <w:rFonts w:ascii="宋体" w:hAnsi="宋体" w:eastAsia="宋体" w:cs="宋体"/>
                <w:kern w:val="0"/>
                <w:sz w:val="20"/>
                <w:szCs w:val="20"/>
              </w:rPr>
            </w:pPr>
          </w:p>
        </w:tc>
      </w:tr>
      <w:tr w14:paraId="55C9FE68">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0533E4F9">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FC3AC9C">
            <w:pPr>
              <w:widowControl/>
              <w:spacing w:line="240" w:lineRule="exact"/>
              <w:jc w:val="center"/>
              <w:rPr>
                <w:rFonts w:ascii="宋体" w:hAnsi="宋体" w:eastAsia="宋体" w:cs="宋体"/>
                <w:kern w:val="0"/>
                <w:sz w:val="20"/>
                <w:szCs w:val="20"/>
              </w:rPr>
            </w:pPr>
          </w:p>
        </w:tc>
        <w:tc>
          <w:tcPr>
            <w:tcW w:w="1048" w:type="dxa"/>
            <w:vMerge w:val="continue"/>
            <w:tcBorders>
              <w:left w:val="single" w:color="auto" w:sz="4" w:space="0"/>
              <w:bottom w:val="single" w:color="auto" w:sz="4" w:space="0"/>
              <w:right w:val="single" w:color="auto" w:sz="4" w:space="0"/>
            </w:tcBorders>
            <w:noWrap w:val="0"/>
            <w:vAlign w:val="center"/>
          </w:tcPr>
          <w:p w14:paraId="5535AC4D">
            <w:pPr>
              <w:widowControl/>
              <w:spacing w:line="240" w:lineRule="exact"/>
              <w:jc w:val="center"/>
              <w:rPr>
                <w:rFonts w:ascii="宋体" w:hAnsi="宋体" w:eastAsia="宋体" w:cs="宋体"/>
                <w:kern w:val="0"/>
                <w:sz w:val="20"/>
                <w:szCs w:val="20"/>
              </w:rPr>
            </w:pPr>
          </w:p>
        </w:tc>
        <w:tc>
          <w:tcPr>
            <w:tcW w:w="2282" w:type="dxa"/>
            <w:gridSpan w:val="4"/>
            <w:tcBorders>
              <w:top w:val="single" w:color="auto" w:sz="4" w:space="0"/>
              <w:left w:val="nil"/>
              <w:bottom w:val="single" w:color="auto" w:sz="4" w:space="0"/>
              <w:right w:val="single" w:color="auto" w:sz="4" w:space="0"/>
            </w:tcBorders>
            <w:noWrap w:val="0"/>
            <w:vAlign w:val="center"/>
          </w:tcPr>
          <w:p w14:paraId="33805050">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170C38E1">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4AD06FD0">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A127C32">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26F8C1B7">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4743B443">
            <w:pPr>
              <w:widowControl/>
              <w:spacing w:line="240" w:lineRule="exact"/>
              <w:jc w:val="center"/>
              <w:rPr>
                <w:rFonts w:ascii="宋体" w:hAnsi="宋体" w:eastAsia="宋体" w:cs="宋体"/>
                <w:kern w:val="0"/>
                <w:sz w:val="20"/>
                <w:szCs w:val="20"/>
              </w:rPr>
            </w:pPr>
          </w:p>
        </w:tc>
      </w:tr>
      <w:tr w14:paraId="22667961">
        <w:tblPrEx>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noWrap w:val="0"/>
            <w:vAlign w:val="center"/>
          </w:tcPr>
          <w:p w14:paraId="734345A6">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EEA2041">
            <w:pPr>
              <w:widowControl/>
              <w:spacing w:line="240" w:lineRule="exact"/>
              <w:jc w:val="center"/>
              <w:rPr>
                <w:rFonts w:ascii="宋体" w:hAnsi="宋体" w:eastAsia="宋体" w:cs="宋体"/>
                <w:kern w:val="0"/>
                <w:sz w:val="20"/>
                <w:szCs w:val="20"/>
              </w:rPr>
            </w:pPr>
          </w:p>
        </w:tc>
        <w:tc>
          <w:tcPr>
            <w:tcW w:w="1048" w:type="dxa"/>
            <w:tcBorders>
              <w:top w:val="single" w:color="auto" w:sz="4" w:space="0"/>
              <w:left w:val="single" w:color="auto" w:sz="4" w:space="0"/>
              <w:bottom w:val="single" w:color="auto" w:sz="4" w:space="0"/>
              <w:right w:val="single" w:color="auto" w:sz="4" w:space="0"/>
            </w:tcBorders>
            <w:noWrap w:val="0"/>
            <w:vAlign w:val="center"/>
          </w:tcPr>
          <w:p w14:paraId="3C359A4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社会效益</w:t>
            </w:r>
          </w:p>
          <w:p w14:paraId="2DDAB254">
            <w:pPr>
              <w:widowControl/>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指标</w:t>
            </w:r>
          </w:p>
        </w:tc>
        <w:tc>
          <w:tcPr>
            <w:tcW w:w="2282" w:type="dxa"/>
            <w:gridSpan w:val="4"/>
            <w:tcBorders>
              <w:top w:val="single" w:color="auto" w:sz="4" w:space="0"/>
              <w:left w:val="nil"/>
              <w:bottom w:val="single" w:color="auto" w:sz="4" w:space="0"/>
              <w:right w:val="single" w:color="auto" w:sz="4" w:space="0"/>
            </w:tcBorders>
            <w:noWrap w:val="0"/>
            <w:vAlign w:val="center"/>
          </w:tcPr>
          <w:p w14:paraId="523DDF5F">
            <w:pPr>
              <w:widowControl/>
              <w:spacing w:line="240" w:lineRule="exact"/>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指标1：</w:t>
            </w:r>
            <w:r>
              <w:rPr>
                <w:rFonts w:hint="eastAsia" w:ascii="宋体" w:hAnsi="宋体" w:cs="宋体"/>
                <w:color w:val="000000"/>
                <w:kern w:val="0"/>
                <w:sz w:val="20"/>
                <w:szCs w:val="20"/>
                <w:lang w:val="en-US" w:eastAsia="zh-CN"/>
              </w:rPr>
              <w:t>提升</w:t>
            </w:r>
            <w:r>
              <w:rPr>
                <w:rFonts w:hint="eastAsia" w:ascii="宋体" w:hAnsi="宋体" w:eastAsia="宋体" w:cs="宋体"/>
                <w:color w:val="000000"/>
                <w:kern w:val="0"/>
                <w:sz w:val="20"/>
                <w:szCs w:val="20"/>
                <w:lang w:val="en-US" w:eastAsia="zh-CN"/>
              </w:rPr>
              <w:t>军人荣誉感认知度</w:t>
            </w:r>
          </w:p>
        </w:tc>
        <w:tc>
          <w:tcPr>
            <w:tcW w:w="650" w:type="dxa"/>
            <w:tcBorders>
              <w:top w:val="single" w:color="auto" w:sz="4" w:space="0"/>
              <w:left w:val="nil"/>
              <w:bottom w:val="single" w:color="auto" w:sz="4" w:space="0"/>
              <w:right w:val="single" w:color="auto" w:sz="4" w:space="0"/>
            </w:tcBorders>
            <w:noWrap w:val="0"/>
            <w:vAlign w:val="center"/>
          </w:tcPr>
          <w:p w14:paraId="2760924E">
            <w:pPr>
              <w:widowControl/>
              <w:spacing w:line="240" w:lineRule="exact"/>
              <w:jc w:val="center"/>
              <w:rPr>
                <w:rFonts w:hint="default" w:ascii="宋体" w:hAnsi="宋体" w:eastAsia="宋体" w:cs="宋体"/>
                <w:kern w:val="0"/>
                <w:sz w:val="20"/>
                <w:szCs w:val="20"/>
                <w:lang w:val="en-US" w:eastAsia="zh-CN" w:bidi="ar-SA"/>
              </w:rPr>
            </w:pPr>
            <w:r>
              <w:rPr>
                <w:rFonts w:hint="eastAsia" w:ascii="宋体" w:hAnsi="宋体" w:cs="宋体"/>
                <w:kern w:val="0"/>
                <w:sz w:val="20"/>
                <w:szCs w:val="20"/>
                <w:lang w:val="en-US" w:eastAsia="zh-CN"/>
              </w:rPr>
              <w:t>有效提升</w:t>
            </w:r>
          </w:p>
        </w:tc>
        <w:tc>
          <w:tcPr>
            <w:tcW w:w="981" w:type="dxa"/>
            <w:tcBorders>
              <w:top w:val="single" w:color="auto" w:sz="4" w:space="0"/>
              <w:left w:val="nil"/>
              <w:bottom w:val="single" w:color="auto" w:sz="4" w:space="0"/>
              <w:right w:val="single" w:color="auto" w:sz="4" w:space="0"/>
            </w:tcBorders>
            <w:noWrap w:val="0"/>
            <w:vAlign w:val="center"/>
          </w:tcPr>
          <w:p w14:paraId="7D6E36D7">
            <w:pPr>
              <w:widowControl/>
              <w:spacing w:line="240" w:lineRule="exact"/>
              <w:jc w:val="center"/>
              <w:rPr>
                <w:rFonts w:hint="default" w:ascii="宋体" w:hAnsi="宋体" w:eastAsia="宋体" w:cs="宋体"/>
                <w:kern w:val="0"/>
                <w:sz w:val="20"/>
                <w:szCs w:val="20"/>
                <w:lang w:val="en-US" w:eastAsia="zh-CN" w:bidi="ar-SA"/>
              </w:rPr>
            </w:pPr>
            <w:r>
              <w:rPr>
                <w:rFonts w:hint="eastAsia" w:ascii="宋体" w:hAnsi="宋体" w:cs="宋体"/>
                <w:kern w:val="0"/>
                <w:sz w:val="20"/>
                <w:szCs w:val="20"/>
                <w:lang w:val="en-US" w:eastAsia="zh-CN"/>
              </w:rPr>
              <w:t>有效提升</w:t>
            </w:r>
          </w:p>
        </w:tc>
        <w:tc>
          <w:tcPr>
            <w:tcW w:w="567" w:type="dxa"/>
            <w:gridSpan w:val="2"/>
            <w:tcBorders>
              <w:top w:val="single" w:color="auto" w:sz="4" w:space="0"/>
              <w:left w:val="nil"/>
              <w:bottom w:val="single" w:color="auto" w:sz="4" w:space="0"/>
              <w:right w:val="single" w:color="auto" w:sz="4" w:space="0"/>
            </w:tcBorders>
            <w:noWrap w:val="0"/>
            <w:vAlign w:val="center"/>
          </w:tcPr>
          <w:p w14:paraId="18F57477">
            <w:pPr>
              <w:widowControl/>
              <w:spacing w:line="240" w:lineRule="exact"/>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14:paraId="72FDFF88">
            <w:pPr>
              <w:widowControl/>
              <w:spacing w:line="240" w:lineRule="exact"/>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72C7073A">
            <w:pPr>
              <w:widowControl/>
              <w:spacing w:line="240" w:lineRule="exact"/>
              <w:jc w:val="center"/>
              <w:rPr>
                <w:rFonts w:ascii="宋体" w:hAnsi="宋体" w:eastAsia="宋体" w:cs="宋体"/>
                <w:kern w:val="0"/>
                <w:sz w:val="20"/>
                <w:szCs w:val="20"/>
                <w:lang w:val="en-US" w:eastAsia="zh-CN" w:bidi="ar-SA"/>
              </w:rPr>
            </w:pPr>
          </w:p>
        </w:tc>
      </w:tr>
      <w:tr w14:paraId="5FBBA872">
        <w:tblPrEx>
          <w:tblCellMar>
            <w:top w:w="0" w:type="dxa"/>
            <w:left w:w="108" w:type="dxa"/>
            <w:bottom w:w="0" w:type="dxa"/>
            <w:right w:w="108" w:type="dxa"/>
          </w:tblCellMar>
        </w:tblPrEx>
        <w:trPr>
          <w:trHeight w:val="564" w:hRule="exact"/>
          <w:jc w:val="center"/>
        </w:trPr>
        <w:tc>
          <w:tcPr>
            <w:tcW w:w="588" w:type="dxa"/>
            <w:vMerge w:val="continue"/>
            <w:tcBorders>
              <w:left w:val="single" w:color="auto" w:sz="4" w:space="0"/>
              <w:right w:val="single" w:color="auto" w:sz="4" w:space="0"/>
            </w:tcBorders>
            <w:noWrap w:val="0"/>
            <w:vAlign w:val="center"/>
          </w:tcPr>
          <w:p w14:paraId="187B3F53">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36A7727">
            <w:pPr>
              <w:widowControl/>
              <w:spacing w:line="240" w:lineRule="exact"/>
              <w:jc w:val="center"/>
              <w:rPr>
                <w:rFonts w:ascii="宋体" w:hAnsi="宋体" w:eastAsia="宋体" w:cs="宋体"/>
                <w:kern w:val="0"/>
                <w:sz w:val="20"/>
                <w:szCs w:val="20"/>
              </w:rPr>
            </w:pPr>
          </w:p>
        </w:tc>
        <w:tc>
          <w:tcPr>
            <w:tcW w:w="1048" w:type="dxa"/>
            <w:tcBorders>
              <w:top w:val="single" w:color="auto" w:sz="4" w:space="0"/>
              <w:left w:val="single" w:color="auto" w:sz="4" w:space="0"/>
              <w:bottom w:val="single" w:color="auto" w:sz="4" w:space="0"/>
              <w:right w:val="single" w:color="auto" w:sz="4" w:space="0"/>
            </w:tcBorders>
            <w:noWrap w:val="0"/>
            <w:vAlign w:val="center"/>
          </w:tcPr>
          <w:p w14:paraId="22E28A0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生态效益</w:t>
            </w:r>
          </w:p>
          <w:p w14:paraId="5E7AEC8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82" w:type="dxa"/>
            <w:gridSpan w:val="4"/>
            <w:tcBorders>
              <w:top w:val="single" w:color="auto" w:sz="4" w:space="0"/>
              <w:left w:val="nil"/>
              <w:bottom w:val="single" w:color="auto" w:sz="4" w:space="0"/>
              <w:right w:val="single" w:color="auto" w:sz="4" w:space="0"/>
            </w:tcBorders>
            <w:noWrap w:val="0"/>
            <w:vAlign w:val="center"/>
          </w:tcPr>
          <w:p w14:paraId="67C0E205">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指标1：</w:t>
            </w:r>
          </w:p>
        </w:tc>
        <w:tc>
          <w:tcPr>
            <w:tcW w:w="650" w:type="dxa"/>
            <w:tcBorders>
              <w:top w:val="single" w:color="auto" w:sz="4" w:space="0"/>
              <w:left w:val="nil"/>
              <w:bottom w:val="single" w:color="auto" w:sz="4" w:space="0"/>
              <w:right w:val="single" w:color="auto" w:sz="4" w:space="0"/>
            </w:tcBorders>
            <w:noWrap w:val="0"/>
            <w:vAlign w:val="center"/>
          </w:tcPr>
          <w:p w14:paraId="08B21F0A">
            <w:pPr>
              <w:widowControl/>
              <w:spacing w:line="240" w:lineRule="exact"/>
              <w:jc w:val="center"/>
              <w:rPr>
                <w:rFonts w:hint="default" w:ascii="宋体" w:hAnsi="宋体" w:eastAsia="宋体" w:cs="宋体"/>
                <w:kern w:val="0"/>
                <w:sz w:val="20"/>
                <w:szCs w:val="20"/>
                <w:lang w:val="en-US" w:eastAsia="zh-CN"/>
              </w:rPr>
            </w:pPr>
          </w:p>
        </w:tc>
        <w:tc>
          <w:tcPr>
            <w:tcW w:w="981" w:type="dxa"/>
            <w:tcBorders>
              <w:top w:val="single" w:color="auto" w:sz="4" w:space="0"/>
              <w:left w:val="nil"/>
              <w:bottom w:val="single" w:color="auto" w:sz="4" w:space="0"/>
              <w:right w:val="single" w:color="auto" w:sz="4" w:space="0"/>
            </w:tcBorders>
            <w:noWrap w:val="0"/>
            <w:vAlign w:val="center"/>
          </w:tcPr>
          <w:p w14:paraId="7631A6DB">
            <w:pPr>
              <w:widowControl/>
              <w:spacing w:line="240" w:lineRule="exact"/>
              <w:jc w:val="center"/>
              <w:rPr>
                <w:rFonts w:hint="default" w:ascii="宋体" w:hAnsi="宋体" w:eastAsia="宋体" w:cs="宋体"/>
                <w:kern w:val="0"/>
                <w:sz w:val="20"/>
                <w:szCs w:val="20"/>
                <w:lang w:val="en-US" w:eastAsia="zh-CN"/>
              </w:rPr>
            </w:pPr>
          </w:p>
        </w:tc>
        <w:tc>
          <w:tcPr>
            <w:tcW w:w="567" w:type="dxa"/>
            <w:gridSpan w:val="2"/>
            <w:tcBorders>
              <w:top w:val="single" w:color="auto" w:sz="4" w:space="0"/>
              <w:left w:val="nil"/>
              <w:bottom w:val="single" w:color="auto" w:sz="4" w:space="0"/>
              <w:right w:val="single" w:color="auto" w:sz="4" w:space="0"/>
            </w:tcBorders>
            <w:noWrap w:val="0"/>
            <w:vAlign w:val="center"/>
          </w:tcPr>
          <w:p w14:paraId="70999B8B">
            <w:pPr>
              <w:widowControl/>
              <w:spacing w:line="240" w:lineRule="exact"/>
              <w:jc w:val="center"/>
              <w:rPr>
                <w:rFonts w:hint="default" w:ascii="宋体" w:hAnsi="宋体" w:eastAsia="宋体" w:cs="宋体"/>
                <w:kern w:val="0"/>
                <w:sz w:val="20"/>
                <w:szCs w:val="20"/>
                <w:lang w:val="en-US" w:eastAsia="zh-CN"/>
              </w:rPr>
            </w:pPr>
          </w:p>
        </w:tc>
        <w:tc>
          <w:tcPr>
            <w:tcW w:w="567" w:type="dxa"/>
            <w:gridSpan w:val="2"/>
            <w:tcBorders>
              <w:top w:val="single" w:color="auto" w:sz="4" w:space="0"/>
              <w:left w:val="nil"/>
              <w:bottom w:val="single" w:color="auto" w:sz="4" w:space="0"/>
              <w:right w:val="single" w:color="auto" w:sz="4" w:space="0"/>
            </w:tcBorders>
            <w:noWrap w:val="0"/>
            <w:vAlign w:val="center"/>
          </w:tcPr>
          <w:p w14:paraId="6EE7C4C4">
            <w:pPr>
              <w:widowControl/>
              <w:spacing w:line="240" w:lineRule="exact"/>
              <w:jc w:val="center"/>
              <w:rPr>
                <w:rFonts w:hint="default" w:ascii="宋体" w:hAnsi="宋体" w:eastAsia="宋体" w:cs="宋体"/>
                <w:kern w:val="0"/>
                <w:sz w:val="20"/>
                <w:szCs w:val="20"/>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14:paraId="31B0A599">
            <w:pPr>
              <w:widowControl/>
              <w:spacing w:line="240" w:lineRule="exact"/>
              <w:jc w:val="center"/>
              <w:rPr>
                <w:rFonts w:ascii="宋体" w:hAnsi="宋体" w:eastAsia="宋体" w:cs="宋体"/>
                <w:kern w:val="0"/>
                <w:sz w:val="20"/>
                <w:szCs w:val="20"/>
              </w:rPr>
            </w:pPr>
          </w:p>
        </w:tc>
      </w:tr>
      <w:tr w14:paraId="3AD6DC70">
        <w:tblPrEx>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14:paraId="7E48F324">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0FC80CC">
            <w:pPr>
              <w:widowControl/>
              <w:spacing w:line="240" w:lineRule="exact"/>
              <w:jc w:val="center"/>
              <w:rPr>
                <w:rFonts w:ascii="宋体" w:hAnsi="宋体" w:eastAsia="宋体" w:cs="宋体"/>
                <w:kern w:val="0"/>
                <w:sz w:val="20"/>
                <w:szCs w:val="20"/>
              </w:rPr>
            </w:pPr>
          </w:p>
        </w:tc>
        <w:tc>
          <w:tcPr>
            <w:tcW w:w="1048" w:type="dxa"/>
            <w:vMerge w:val="restart"/>
            <w:tcBorders>
              <w:top w:val="nil"/>
              <w:left w:val="single" w:color="auto" w:sz="4" w:space="0"/>
              <w:bottom w:val="single" w:color="auto" w:sz="4" w:space="0"/>
              <w:right w:val="single" w:color="auto" w:sz="4" w:space="0"/>
            </w:tcBorders>
            <w:noWrap w:val="0"/>
            <w:vAlign w:val="center"/>
          </w:tcPr>
          <w:p w14:paraId="3F56C48C">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可持续影响指标</w:t>
            </w:r>
          </w:p>
        </w:tc>
        <w:tc>
          <w:tcPr>
            <w:tcW w:w="2282" w:type="dxa"/>
            <w:gridSpan w:val="4"/>
            <w:tcBorders>
              <w:top w:val="single" w:color="auto" w:sz="4" w:space="0"/>
              <w:left w:val="nil"/>
              <w:bottom w:val="single" w:color="auto" w:sz="4" w:space="0"/>
              <w:right w:val="single" w:color="auto" w:sz="4" w:space="0"/>
            </w:tcBorders>
            <w:noWrap w:val="0"/>
            <w:vAlign w:val="center"/>
          </w:tcPr>
          <w:p w14:paraId="699A708F">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2E3EB8F5">
            <w:pPr>
              <w:widowControl/>
              <w:spacing w:line="240" w:lineRule="exact"/>
              <w:jc w:val="center"/>
              <w:rPr>
                <w:rFonts w:hint="default" w:ascii="宋体" w:hAnsi="宋体" w:eastAsia="宋体" w:cs="宋体"/>
                <w:kern w:val="0"/>
                <w:sz w:val="20"/>
                <w:szCs w:val="20"/>
                <w:lang w:val="en-US" w:eastAsia="zh-CN" w:bidi="ar-SA"/>
              </w:rPr>
            </w:pPr>
          </w:p>
        </w:tc>
        <w:tc>
          <w:tcPr>
            <w:tcW w:w="981" w:type="dxa"/>
            <w:tcBorders>
              <w:top w:val="nil"/>
              <w:left w:val="nil"/>
              <w:bottom w:val="single" w:color="auto" w:sz="4" w:space="0"/>
              <w:right w:val="single" w:color="auto" w:sz="4" w:space="0"/>
            </w:tcBorders>
            <w:noWrap w:val="0"/>
            <w:vAlign w:val="center"/>
          </w:tcPr>
          <w:p w14:paraId="616B63BF">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47E9BFAC">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3983D398">
            <w:pPr>
              <w:widowControl/>
              <w:spacing w:line="240" w:lineRule="exact"/>
              <w:jc w:val="center"/>
              <w:rPr>
                <w:rFonts w:hint="default" w:ascii="宋体" w:hAnsi="宋体" w:eastAsia="宋体" w:cs="宋体"/>
                <w:kern w:val="0"/>
                <w:sz w:val="20"/>
                <w:szCs w:val="20"/>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14:paraId="4E2F44B3">
            <w:pPr>
              <w:widowControl/>
              <w:spacing w:line="240" w:lineRule="exact"/>
              <w:jc w:val="center"/>
              <w:rPr>
                <w:rFonts w:ascii="宋体" w:hAnsi="宋体" w:eastAsia="宋体" w:cs="宋体"/>
                <w:kern w:val="0"/>
                <w:sz w:val="20"/>
                <w:szCs w:val="20"/>
                <w:lang w:val="en-US" w:eastAsia="zh-CN" w:bidi="ar-SA"/>
              </w:rPr>
            </w:pPr>
          </w:p>
        </w:tc>
      </w:tr>
      <w:tr w14:paraId="1527B966">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noWrap w:val="0"/>
            <w:vAlign w:val="center"/>
          </w:tcPr>
          <w:p w14:paraId="44E76781">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6EEA4D5">
            <w:pPr>
              <w:widowControl/>
              <w:spacing w:line="240" w:lineRule="exact"/>
              <w:jc w:val="center"/>
              <w:rPr>
                <w:rFonts w:ascii="宋体" w:hAnsi="宋体" w:eastAsia="宋体" w:cs="宋体"/>
                <w:kern w:val="0"/>
                <w:sz w:val="20"/>
                <w:szCs w:val="20"/>
              </w:rPr>
            </w:pPr>
          </w:p>
        </w:tc>
        <w:tc>
          <w:tcPr>
            <w:tcW w:w="1048" w:type="dxa"/>
            <w:vMerge w:val="continue"/>
            <w:tcBorders>
              <w:top w:val="nil"/>
              <w:left w:val="single" w:color="auto" w:sz="4" w:space="0"/>
              <w:bottom w:val="single" w:color="auto" w:sz="4" w:space="0"/>
              <w:right w:val="single" w:color="auto" w:sz="4" w:space="0"/>
            </w:tcBorders>
            <w:noWrap w:val="0"/>
            <w:vAlign w:val="center"/>
          </w:tcPr>
          <w:p w14:paraId="6809F6DE">
            <w:pPr>
              <w:widowControl/>
              <w:spacing w:line="240" w:lineRule="exact"/>
              <w:jc w:val="center"/>
              <w:rPr>
                <w:rFonts w:ascii="宋体" w:hAnsi="宋体" w:eastAsia="宋体" w:cs="宋体"/>
                <w:kern w:val="0"/>
                <w:sz w:val="20"/>
                <w:szCs w:val="20"/>
              </w:rPr>
            </w:pPr>
          </w:p>
        </w:tc>
        <w:tc>
          <w:tcPr>
            <w:tcW w:w="2282" w:type="dxa"/>
            <w:gridSpan w:val="4"/>
            <w:tcBorders>
              <w:top w:val="single" w:color="auto" w:sz="4" w:space="0"/>
              <w:left w:val="nil"/>
              <w:bottom w:val="single" w:color="auto" w:sz="4" w:space="0"/>
              <w:right w:val="single" w:color="auto" w:sz="4" w:space="0"/>
            </w:tcBorders>
            <w:noWrap w:val="0"/>
            <w:vAlign w:val="center"/>
          </w:tcPr>
          <w:p w14:paraId="735CAD72">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6BA484FA">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457141E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2F2F9C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7538944E">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332B401B">
            <w:pPr>
              <w:widowControl/>
              <w:spacing w:line="240" w:lineRule="exact"/>
              <w:jc w:val="center"/>
              <w:rPr>
                <w:rFonts w:ascii="宋体" w:hAnsi="宋体" w:eastAsia="宋体" w:cs="宋体"/>
                <w:kern w:val="0"/>
                <w:sz w:val="20"/>
                <w:szCs w:val="20"/>
              </w:rPr>
            </w:pPr>
          </w:p>
        </w:tc>
      </w:tr>
      <w:tr w14:paraId="77FCC9BF">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noWrap w:val="0"/>
            <w:vAlign w:val="center"/>
          </w:tcPr>
          <w:p w14:paraId="301AFE40">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right w:val="single" w:color="auto" w:sz="4" w:space="0"/>
            </w:tcBorders>
            <w:noWrap w:val="0"/>
            <w:vAlign w:val="center"/>
          </w:tcPr>
          <w:p w14:paraId="0864439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满意度</w:t>
            </w:r>
          </w:p>
          <w:p w14:paraId="1AA6A6B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1048" w:type="dxa"/>
            <w:vMerge w:val="restart"/>
            <w:tcBorders>
              <w:top w:val="nil"/>
              <w:left w:val="single" w:color="auto" w:sz="4" w:space="0"/>
              <w:bottom w:val="single" w:color="auto" w:sz="4" w:space="0"/>
              <w:right w:val="single" w:color="auto" w:sz="4" w:space="0"/>
            </w:tcBorders>
            <w:noWrap w:val="0"/>
            <w:vAlign w:val="center"/>
          </w:tcPr>
          <w:p w14:paraId="5FBB910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服务对象满意度指标</w:t>
            </w:r>
          </w:p>
        </w:tc>
        <w:tc>
          <w:tcPr>
            <w:tcW w:w="2282" w:type="dxa"/>
            <w:gridSpan w:val="4"/>
            <w:tcBorders>
              <w:top w:val="single" w:color="auto" w:sz="4" w:space="0"/>
              <w:left w:val="nil"/>
              <w:bottom w:val="single" w:color="auto" w:sz="4" w:space="0"/>
              <w:right w:val="single" w:color="auto" w:sz="4" w:space="0"/>
            </w:tcBorders>
            <w:noWrap w:val="0"/>
            <w:vAlign w:val="center"/>
          </w:tcPr>
          <w:p w14:paraId="20B898BA">
            <w:pPr>
              <w:widowControl/>
              <w:spacing w:line="240" w:lineRule="exact"/>
              <w:jc w:val="left"/>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指标1：部队满意度</w:t>
            </w:r>
          </w:p>
        </w:tc>
        <w:tc>
          <w:tcPr>
            <w:tcW w:w="650" w:type="dxa"/>
            <w:tcBorders>
              <w:top w:val="nil"/>
              <w:left w:val="nil"/>
              <w:bottom w:val="single" w:color="auto" w:sz="4" w:space="0"/>
              <w:right w:val="single" w:color="auto" w:sz="4" w:space="0"/>
            </w:tcBorders>
            <w:noWrap w:val="0"/>
            <w:vAlign w:val="center"/>
          </w:tcPr>
          <w:p w14:paraId="177B6D53">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2B398E77">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77D3A7DC">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755DE0A">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2C5BCAA4">
            <w:pPr>
              <w:widowControl/>
              <w:spacing w:line="240" w:lineRule="exact"/>
              <w:jc w:val="center"/>
              <w:rPr>
                <w:rFonts w:ascii="宋体" w:hAnsi="宋体" w:eastAsia="宋体" w:cs="宋体"/>
                <w:kern w:val="0"/>
                <w:sz w:val="20"/>
                <w:szCs w:val="20"/>
              </w:rPr>
            </w:pPr>
          </w:p>
        </w:tc>
      </w:tr>
      <w:tr w14:paraId="7E24562D">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noWrap w:val="0"/>
            <w:vAlign w:val="center"/>
          </w:tcPr>
          <w:p w14:paraId="6410EB31">
            <w:pPr>
              <w:widowControl/>
              <w:spacing w:line="240" w:lineRule="exact"/>
              <w:jc w:val="center"/>
              <w:rPr>
                <w:rFonts w:ascii="宋体" w:hAnsi="宋体" w:eastAsia="宋体" w:cs="宋体"/>
                <w:kern w:val="0"/>
                <w:sz w:val="20"/>
                <w:szCs w:val="20"/>
              </w:rPr>
            </w:pPr>
          </w:p>
        </w:tc>
        <w:tc>
          <w:tcPr>
            <w:tcW w:w="980" w:type="dxa"/>
            <w:vMerge w:val="continue"/>
            <w:tcBorders>
              <w:left w:val="single" w:color="auto" w:sz="4" w:space="0"/>
              <w:right w:val="single" w:color="auto" w:sz="4" w:space="0"/>
            </w:tcBorders>
            <w:noWrap w:val="0"/>
            <w:vAlign w:val="center"/>
          </w:tcPr>
          <w:p w14:paraId="7CE98B22">
            <w:pPr>
              <w:widowControl/>
              <w:spacing w:line="240" w:lineRule="exact"/>
              <w:jc w:val="center"/>
              <w:rPr>
                <w:rFonts w:hint="eastAsia" w:ascii="宋体" w:hAnsi="宋体" w:eastAsia="宋体" w:cs="宋体"/>
                <w:kern w:val="0"/>
                <w:sz w:val="20"/>
                <w:szCs w:val="20"/>
              </w:rPr>
            </w:pPr>
          </w:p>
        </w:tc>
        <w:tc>
          <w:tcPr>
            <w:tcW w:w="1048" w:type="dxa"/>
            <w:vMerge w:val="continue"/>
            <w:tcBorders>
              <w:left w:val="single" w:color="auto" w:sz="4" w:space="0"/>
              <w:right w:val="single" w:color="auto" w:sz="4" w:space="0"/>
            </w:tcBorders>
            <w:noWrap w:val="0"/>
            <w:vAlign w:val="center"/>
          </w:tcPr>
          <w:p w14:paraId="37CE9731">
            <w:pPr>
              <w:widowControl/>
              <w:spacing w:line="240" w:lineRule="exact"/>
              <w:jc w:val="center"/>
              <w:rPr>
                <w:rFonts w:hint="eastAsia" w:ascii="宋体" w:hAnsi="宋体" w:eastAsia="宋体" w:cs="宋体"/>
                <w:kern w:val="0"/>
                <w:sz w:val="20"/>
                <w:szCs w:val="20"/>
              </w:rPr>
            </w:pPr>
          </w:p>
        </w:tc>
        <w:tc>
          <w:tcPr>
            <w:tcW w:w="2282" w:type="dxa"/>
            <w:gridSpan w:val="4"/>
            <w:tcBorders>
              <w:top w:val="single" w:color="auto" w:sz="4" w:space="0"/>
              <w:left w:val="nil"/>
              <w:bottom w:val="single" w:color="auto" w:sz="4" w:space="0"/>
              <w:right w:val="single" w:color="auto" w:sz="4" w:space="0"/>
            </w:tcBorders>
            <w:noWrap w:val="0"/>
            <w:vAlign w:val="center"/>
          </w:tcPr>
          <w:p w14:paraId="432CB1F3">
            <w:pPr>
              <w:widowControl/>
              <w:spacing w:line="240" w:lineRule="exact"/>
              <w:jc w:val="left"/>
              <w:rPr>
                <w:rFonts w:hint="default"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指标2：走访对象满意度</w:t>
            </w:r>
          </w:p>
        </w:tc>
        <w:tc>
          <w:tcPr>
            <w:tcW w:w="650" w:type="dxa"/>
            <w:tcBorders>
              <w:top w:val="nil"/>
              <w:left w:val="nil"/>
              <w:bottom w:val="single" w:color="auto" w:sz="4" w:space="0"/>
              <w:right w:val="single" w:color="auto" w:sz="4" w:space="0"/>
            </w:tcBorders>
            <w:noWrap w:val="0"/>
            <w:vAlign w:val="center"/>
          </w:tcPr>
          <w:p w14:paraId="763510D8">
            <w:pPr>
              <w:widowControl/>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06369B07">
            <w:pPr>
              <w:widowControl/>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059BB3A7">
            <w:pPr>
              <w:widowControl/>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475487E1">
            <w:pPr>
              <w:widowControl/>
              <w:spacing w:line="240" w:lineRule="exact"/>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B456178">
            <w:pPr>
              <w:widowControl/>
              <w:spacing w:line="240" w:lineRule="exact"/>
              <w:jc w:val="center"/>
              <w:rPr>
                <w:rFonts w:ascii="宋体" w:hAnsi="宋体" w:eastAsia="宋体" w:cs="宋体"/>
                <w:kern w:val="0"/>
                <w:sz w:val="20"/>
                <w:szCs w:val="20"/>
              </w:rPr>
            </w:pPr>
          </w:p>
        </w:tc>
      </w:tr>
      <w:tr w14:paraId="0F0A1D6C">
        <w:tblPrEx>
          <w:tblCellMar>
            <w:top w:w="0" w:type="dxa"/>
            <w:left w:w="108" w:type="dxa"/>
            <w:bottom w:w="0" w:type="dxa"/>
            <w:right w:w="108" w:type="dxa"/>
          </w:tblCellMar>
        </w:tblPrEx>
        <w:trPr>
          <w:trHeight w:val="300"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14:paraId="4E345B3B">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总分</w:t>
            </w:r>
          </w:p>
        </w:tc>
        <w:tc>
          <w:tcPr>
            <w:tcW w:w="567" w:type="dxa"/>
            <w:gridSpan w:val="2"/>
            <w:tcBorders>
              <w:top w:val="nil"/>
              <w:left w:val="nil"/>
              <w:bottom w:val="single" w:color="auto" w:sz="4" w:space="0"/>
              <w:right w:val="single" w:color="auto" w:sz="4" w:space="0"/>
            </w:tcBorders>
            <w:noWrap w:val="0"/>
            <w:vAlign w:val="center"/>
          </w:tcPr>
          <w:p w14:paraId="1A31DF81">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567" w:type="dxa"/>
            <w:gridSpan w:val="2"/>
            <w:tcBorders>
              <w:top w:val="nil"/>
              <w:left w:val="nil"/>
              <w:bottom w:val="single" w:color="auto" w:sz="4" w:space="0"/>
              <w:right w:val="single" w:color="auto" w:sz="4" w:space="0"/>
            </w:tcBorders>
            <w:noWrap w:val="0"/>
            <w:vAlign w:val="center"/>
          </w:tcPr>
          <w:p w14:paraId="7C132B32">
            <w:pPr>
              <w:widowControl/>
              <w:spacing w:line="240" w:lineRule="exact"/>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03C474B6">
            <w:pPr>
              <w:widowControl/>
              <w:spacing w:line="240" w:lineRule="exact"/>
              <w:jc w:val="center"/>
              <w:rPr>
                <w:rFonts w:ascii="宋体" w:hAnsi="宋体" w:eastAsia="宋体" w:cs="宋体"/>
                <w:kern w:val="0"/>
                <w:sz w:val="20"/>
                <w:szCs w:val="20"/>
              </w:rPr>
            </w:pPr>
          </w:p>
        </w:tc>
      </w:tr>
      <w:tr w14:paraId="4D0988DE">
        <w:tblPrEx>
          <w:tblCellMar>
            <w:top w:w="0" w:type="dxa"/>
            <w:left w:w="108" w:type="dxa"/>
            <w:bottom w:w="0" w:type="dxa"/>
            <w:right w:w="108" w:type="dxa"/>
          </w:tblCellMar>
        </w:tblPrEx>
        <w:trPr>
          <w:trHeight w:val="454" w:hRule="exact"/>
          <w:jc w:val="center"/>
        </w:trPr>
        <w:tc>
          <w:tcPr>
            <w:tcW w:w="9080" w:type="dxa"/>
            <w:gridSpan w:val="15"/>
            <w:tcBorders>
              <w:top w:val="nil"/>
              <w:left w:val="nil"/>
              <w:bottom w:val="nil"/>
              <w:right w:val="nil"/>
            </w:tcBorders>
            <w:noWrap w:val="0"/>
            <w:vAlign w:val="center"/>
          </w:tcPr>
          <w:p w14:paraId="235A8152">
            <w:pPr>
              <w:widowControl/>
              <w:spacing w:line="320" w:lineRule="exact"/>
              <w:jc w:val="both"/>
              <w:rPr>
                <w:rFonts w:ascii="宋体" w:hAnsi="宋体" w:eastAsia="宋体" w:cs="宋体"/>
                <w:b/>
                <w:bCs/>
                <w:kern w:val="0"/>
                <w:sz w:val="36"/>
                <w:szCs w:val="36"/>
              </w:rPr>
            </w:pPr>
          </w:p>
        </w:tc>
      </w:tr>
      <w:tr w14:paraId="2E0BC9D4">
        <w:tblPrEx>
          <w:tblCellMar>
            <w:top w:w="0" w:type="dxa"/>
            <w:left w:w="108" w:type="dxa"/>
            <w:bottom w:w="0" w:type="dxa"/>
            <w:right w:w="108" w:type="dxa"/>
          </w:tblCellMar>
        </w:tblPrEx>
        <w:trPr>
          <w:trHeight w:val="201" w:hRule="atLeast"/>
          <w:jc w:val="center"/>
        </w:trPr>
        <w:tc>
          <w:tcPr>
            <w:tcW w:w="9080" w:type="dxa"/>
            <w:gridSpan w:val="15"/>
            <w:tcBorders>
              <w:top w:val="nil"/>
              <w:left w:val="nil"/>
              <w:bottom w:val="nil"/>
              <w:right w:val="nil"/>
            </w:tcBorders>
            <w:noWrap w:val="0"/>
            <w:vAlign w:val="top"/>
          </w:tcPr>
          <w:p w14:paraId="2B993DB4">
            <w:pPr>
              <w:widowControl/>
              <w:jc w:val="center"/>
              <w:rPr>
                <w:rFonts w:hint="eastAsia" w:ascii="宋体" w:hAnsi="宋体" w:eastAsia="宋体" w:cs="宋体"/>
                <w:kern w:val="0"/>
                <w:sz w:val="24"/>
                <w:szCs w:val="24"/>
              </w:rPr>
            </w:pPr>
            <w:r>
              <w:rPr>
                <w:rFonts w:hint="eastAsia" w:ascii="宋体" w:hAnsi="宋体" w:eastAsia="宋体" w:cs="宋体"/>
                <w:b/>
                <w:bCs/>
                <w:kern w:val="0"/>
                <w:sz w:val="36"/>
                <w:szCs w:val="36"/>
              </w:rPr>
              <w:t>项目支出绩效自评表</w:t>
            </w:r>
          </w:p>
          <w:p w14:paraId="362C9346">
            <w:pPr>
              <w:widowControl/>
              <w:jc w:val="center"/>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2022</w:t>
            </w:r>
            <w:r>
              <w:rPr>
                <w:rFonts w:hint="eastAsia" w:ascii="宋体" w:hAnsi="宋体" w:eastAsia="宋体" w:cs="宋体"/>
                <w:kern w:val="0"/>
                <w:sz w:val="24"/>
                <w:szCs w:val="24"/>
              </w:rPr>
              <w:t>年度）</w:t>
            </w:r>
          </w:p>
        </w:tc>
      </w:tr>
      <w:tr w14:paraId="32F1E2DD">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49DD512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项目名称</w:t>
            </w:r>
          </w:p>
        </w:tc>
        <w:tc>
          <w:tcPr>
            <w:tcW w:w="7512" w:type="dxa"/>
            <w:gridSpan w:val="13"/>
            <w:tcBorders>
              <w:top w:val="single" w:color="auto" w:sz="4" w:space="0"/>
              <w:left w:val="nil"/>
              <w:bottom w:val="single" w:color="auto" w:sz="4" w:space="0"/>
              <w:right w:val="single" w:color="auto" w:sz="4" w:space="0"/>
            </w:tcBorders>
            <w:noWrap w:val="0"/>
            <w:vAlign w:val="center"/>
          </w:tcPr>
          <w:p w14:paraId="2E9103E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随军家属安置经费</w:t>
            </w:r>
          </w:p>
        </w:tc>
      </w:tr>
      <w:tr w14:paraId="5817C72A">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70B0E12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主管部门</w:t>
            </w:r>
          </w:p>
        </w:tc>
        <w:tc>
          <w:tcPr>
            <w:tcW w:w="3980" w:type="dxa"/>
            <w:gridSpan w:val="6"/>
            <w:tcBorders>
              <w:top w:val="single" w:color="auto" w:sz="4" w:space="0"/>
              <w:left w:val="nil"/>
              <w:bottom w:val="single" w:color="auto" w:sz="4" w:space="0"/>
              <w:right w:val="single" w:color="auto" w:sz="4" w:space="0"/>
            </w:tcBorders>
            <w:noWrap w:val="0"/>
            <w:vAlign w:val="center"/>
          </w:tcPr>
          <w:p w14:paraId="5310D359">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c>
          <w:tcPr>
            <w:tcW w:w="1264" w:type="dxa"/>
            <w:gridSpan w:val="2"/>
            <w:tcBorders>
              <w:top w:val="nil"/>
              <w:left w:val="nil"/>
              <w:bottom w:val="single" w:color="auto" w:sz="4" w:space="0"/>
              <w:right w:val="single" w:color="auto" w:sz="4" w:space="0"/>
            </w:tcBorders>
            <w:noWrap w:val="0"/>
            <w:vAlign w:val="center"/>
          </w:tcPr>
          <w:p w14:paraId="2BA814C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29B71586">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r>
      <w:tr w14:paraId="1E1F00DC">
        <w:tblPrEx>
          <w:tblCellMar>
            <w:top w:w="0" w:type="dxa"/>
            <w:left w:w="108" w:type="dxa"/>
            <w:bottom w:w="0" w:type="dxa"/>
            <w:right w:w="108" w:type="dxa"/>
          </w:tblCellMar>
        </w:tblPrEx>
        <w:trPr>
          <w:trHeight w:val="597"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FAC2C4D">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项目资金</w:t>
            </w:r>
          </w:p>
          <w:p w14:paraId="01B1711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（万元）</w:t>
            </w:r>
          </w:p>
        </w:tc>
        <w:tc>
          <w:tcPr>
            <w:tcW w:w="2097" w:type="dxa"/>
            <w:gridSpan w:val="3"/>
            <w:tcBorders>
              <w:top w:val="single" w:color="auto" w:sz="4" w:space="0"/>
              <w:left w:val="nil"/>
              <w:bottom w:val="single" w:color="auto" w:sz="4" w:space="0"/>
              <w:right w:val="single" w:color="auto" w:sz="4" w:space="0"/>
            </w:tcBorders>
            <w:noWrap w:val="0"/>
            <w:vAlign w:val="center"/>
          </w:tcPr>
          <w:p w14:paraId="77C7879A">
            <w:pPr>
              <w:widowControl/>
              <w:spacing w:line="240" w:lineRule="exact"/>
              <w:jc w:val="center"/>
              <w:rPr>
                <w:rFonts w:ascii="宋体" w:hAnsi="宋体" w:eastAsia="宋体" w:cs="宋体"/>
                <w:kern w:val="0"/>
                <w:sz w:val="20"/>
                <w:szCs w:val="20"/>
              </w:rPr>
            </w:pPr>
          </w:p>
        </w:tc>
        <w:tc>
          <w:tcPr>
            <w:tcW w:w="1033" w:type="dxa"/>
            <w:tcBorders>
              <w:top w:val="nil"/>
              <w:left w:val="nil"/>
              <w:bottom w:val="single" w:color="auto" w:sz="4" w:space="0"/>
              <w:right w:val="single" w:color="auto" w:sz="4" w:space="0"/>
            </w:tcBorders>
            <w:noWrap w:val="0"/>
            <w:vAlign w:val="center"/>
          </w:tcPr>
          <w:p w14:paraId="63CD525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年初预算数</w:t>
            </w:r>
          </w:p>
        </w:tc>
        <w:tc>
          <w:tcPr>
            <w:tcW w:w="850" w:type="dxa"/>
            <w:gridSpan w:val="2"/>
            <w:tcBorders>
              <w:top w:val="nil"/>
              <w:left w:val="nil"/>
              <w:bottom w:val="single" w:color="auto" w:sz="4" w:space="0"/>
              <w:right w:val="single" w:color="auto" w:sz="4" w:space="0"/>
            </w:tcBorders>
            <w:noWrap w:val="0"/>
            <w:vAlign w:val="center"/>
          </w:tcPr>
          <w:p w14:paraId="01005E7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全年预算数</w:t>
            </w:r>
          </w:p>
        </w:tc>
        <w:tc>
          <w:tcPr>
            <w:tcW w:w="1264" w:type="dxa"/>
            <w:gridSpan w:val="2"/>
            <w:tcBorders>
              <w:top w:val="nil"/>
              <w:left w:val="nil"/>
              <w:bottom w:val="single" w:color="auto" w:sz="4" w:space="0"/>
              <w:right w:val="single" w:color="auto" w:sz="4" w:space="0"/>
            </w:tcBorders>
            <w:noWrap w:val="0"/>
            <w:vAlign w:val="center"/>
          </w:tcPr>
          <w:p w14:paraId="4F6E460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全年执行数</w:t>
            </w:r>
          </w:p>
        </w:tc>
        <w:tc>
          <w:tcPr>
            <w:tcW w:w="709" w:type="dxa"/>
            <w:gridSpan w:val="2"/>
            <w:tcBorders>
              <w:top w:val="nil"/>
              <w:left w:val="nil"/>
              <w:bottom w:val="single" w:color="auto" w:sz="4" w:space="0"/>
              <w:right w:val="single" w:color="auto" w:sz="4" w:space="0"/>
            </w:tcBorders>
            <w:noWrap w:val="0"/>
            <w:vAlign w:val="center"/>
          </w:tcPr>
          <w:p w14:paraId="478F969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187DDF1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执行率</w:t>
            </w:r>
          </w:p>
        </w:tc>
        <w:tc>
          <w:tcPr>
            <w:tcW w:w="708" w:type="dxa"/>
            <w:tcBorders>
              <w:top w:val="nil"/>
              <w:left w:val="nil"/>
              <w:bottom w:val="single" w:color="auto" w:sz="4" w:space="0"/>
              <w:right w:val="single" w:color="auto" w:sz="4" w:space="0"/>
            </w:tcBorders>
            <w:noWrap w:val="0"/>
            <w:vAlign w:val="center"/>
          </w:tcPr>
          <w:p w14:paraId="562F107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r>
      <w:tr w14:paraId="2751AC63">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22BE320">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212BEB2C">
            <w:pPr>
              <w:widowControl/>
              <w:spacing w:line="240" w:lineRule="exact"/>
              <w:rPr>
                <w:rFonts w:ascii="宋体" w:hAnsi="宋体" w:eastAsia="宋体" w:cs="宋体"/>
                <w:kern w:val="0"/>
                <w:sz w:val="20"/>
                <w:szCs w:val="20"/>
              </w:rPr>
            </w:pPr>
            <w:r>
              <w:rPr>
                <w:rFonts w:hint="eastAsia" w:ascii="宋体" w:hAnsi="宋体" w:eastAsia="宋体" w:cs="宋体"/>
                <w:kern w:val="0"/>
                <w:sz w:val="20"/>
                <w:szCs w:val="20"/>
              </w:rPr>
              <w:t>年度资金总额</w:t>
            </w:r>
          </w:p>
        </w:tc>
        <w:tc>
          <w:tcPr>
            <w:tcW w:w="1033" w:type="dxa"/>
            <w:tcBorders>
              <w:top w:val="nil"/>
              <w:left w:val="nil"/>
              <w:bottom w:val="single" w:color="auto" w:sz="4" w:space="0"/>
              <w:right w:val="single" w:color="auto" w:sz="4" w:space="0"/>
            </w:tcBorders>
            <w:noWrap w:val="0"/>
            <w:vAlign w:val="center"/>
          </w:tcPr>
          <w:p w14:paraId="5B1082EB">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850" w:type="dxa"/>
            <w:gridSpan w:val="2"/>
            <w:tcBorders>
              <w:top w:val="nil"/>
              <w:left w:val="nil"/>
              <w:bottom w:val="single" w:color="auto" w:sz="4" w:space="0"/>
              <w:right w:val="single" w:color="auto" w:sz="4" w:space="0"/>
            </w:tcBorders>
            <w:noWrap w:val="0"/>
            <w:vAlign w:val="center"/>
          </w:tcPr>
          <w:p w14:paraId="58C86537">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1264" w:type="dxa"/>
            <w:gridSpan w:val="2"/>
            <w:tcBorders>
              <w:top w:val="nil"/>
              <w:left w:val="nil"/>
              <w:bottom w:val="single" w:color="auto" w:sz="4" w:space="0"/>
              <w:right w:val="single" w:color="auto" w:sz="4" w:space="0"/>
            </w:tcBorders>
            <w:noWrap w:val="0"/>
            <w:vAlign w:val="center"/>
          </w:tcPr>
          <w:p w14:paraId="5E6103EA">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709" w:type="dxa"/>
            <w:gridSpan w:val="2"/>
            <w:tcBorders>
              <w:top w:val="nil"/>
              <w:left w:val="nil"/>
              <w:bottom w:val="single" w:color="auto" w:sz="4" w:space="0"/>
              <w:right w:val="single" w:color="auto" w:sz="4" w:space="0"/>
            </w:tcBorders>
            <w:noWrap w:val="0"/>
            <w:vAlign w:val="center"/>
          </w:tcPr>
          <w:p w14:paraId="3E986A3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31B92E41">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708" w:type="dxa"/>
            <w:tcBorders>
              <w:top w:val="nil"/>
              <w:left w:val="nil"/>
              <w:bottom w:val="single" w:color="auto" w:sz="4" w:space="0"/>
              <w:right w:val="single" w:color="auto" w:sz="4" w:space="0"/>
            </w:tcBorders>
            <w:noWrap w:val="0"/>
            <w:vAlign w:val="center"/>
          </w:tcPr>
          <w:p w14:paraId="02C76659">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r>
      <w:tr w14:paraId="17B0052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1D50D68">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75D923A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其中：当年财政拨款</w:t>
            </w:r>
          </w:p>
        </w:tc>
        <w:tc>
          <w:tcPr>
            <w:tcW w:w="1033" w:type="dxa"/>
            <w:tcBorders>
              <w:top w:val="nil"/>
              <w:left w:val="nil"/>
              <w:bottom w:val="single" w:color="auto" w:sz="4" w:space="0"/>
              <w:right w:val="single" w:color="auto" w:sz="4" w:space="0"/>
            </w:tcBorders>
            <w:noWrap w:val="0"/>
            <w:vAlign w:val="center"/>
          </w:tcPr>
          <w:p w14:paraId="5D66FDB1">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850" w:type="dxa"/>
            <w:gridSpan w:val="2"/>
            <w:tcBorders>
              <w:top w:val="nil"/>
              <w:left w:val="nil"/>
              <w:bottom w:val="single" w:color="auto" w:sz="4" w:space="0"/>
              <w:right w:val="single" w:color="auto" w:sz="4" w:space="0"/>
            </w:tcBorders>
            <w:noWrap w:val="0"/>
            <w:vAlign w:val="center"/>
          </w:tcPr>
          <w:p w14:paraId="6401EB42">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1264" w:type="dxa"/>
            <w:gridSpan w:val="2"/>
            <w:tcBorders>
              <w:top w:val="nil"/>
              <w:left w:val="nil"/>
              <w:bottom w:val="single" w:color="auto" w:sz="4" w:space="0"/>
              <w:right w:val="single" w:color="auto" w:sz="4" w:space="0"/>
            </w:tcBorders>
            <w:noWrap w:val="0"/>
            <w:vAlign w:val="center"/>
          </w:tcPr>
          <w:p w14:paraId="1CBA8E29">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709" w:type="dxa"/>
            <w:gridSpan w:val="2"/>
            <w:tcBorders>
              <w:top w:val="nil"/>
              <w:left w:val="nil"/>
              <w:bottom w:val="single" w:color="auto" w:sz="4" w:space="0"/>
              <w:right w:val="single" w:color="auto" w:sz="4" w:space="0"/>
            </w:tcBorders>
            <w:noWrap w:val="0"/>
            <w:vAlign w:val="center"/>
          </w:tcPr>
          <w:p w14:paraId="113818A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7C02F58C">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4A04A98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110E3AC3">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240272F">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4F56C97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上年结转资金</w:t>
            </w:r>
          </w:p>
        </w:tc>
        <w:tc>
          <w:tcPr>
            <w:tcW w:w="1033" w:type="dxa"/>
            <w:tcBorders>
              <w:top w:val="nil"/>
              <w:left w:val="nil"/>
              <w:bottom w:val="single" w:color="auto" w:sz="4" w:space="0"/>
              <w:right w:val="single" w:color="auto" w:sz="4" w:space="0"/>
            </w:tcBorders>
            <w:noWrap w:val="0"/>
            <w:vAlign w:val="center"/>
          </w:tcPr>
          <w:p w14:paraId="09F83974">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0D466E03">
            <w:pPr>
              <w:widowControl/>
              <w:spacing w:line="240" w:lineRule="exact"/>
              <w:jc w:val="center"/>
              <w:rPr>
                <w:rFonts w:ascii="宋体" w:hAnsi="宋体" w:eastAsia="宋体" w:cs="宋体"/>
                <w:kern w:val="0"/>
                <w:sz w:val="20"/>
                <w:szCs w:val="20"/>
              </w:rPr>
            </w:pPr>
          </w:p>
        </w:tc>
        <w:tc>
          <w:tcPr>
            <w:tcW w:w="1264" w:type="dxa"/>
            <w:gridSpan w:val="2"/>
            <w:tcBorders>
              <w:top w:val="nil"/>
              <w:left w:val="nil"/>
              <w:bottom w:val="single" w:color="auto" w:sz="4" w:space="0"/>
              <w:right w:val="single" w:color="auto" w:sz="4" w:space="0"/>
            </w:tcBorders>
            <w:noWrap w:val="0"/>
            <w:vAlign w:val="center"/>
          </w:tcPr>
          <w:p w14:paraId="76EAF323">
            <w:pPr>
              <w:widowControl/>
              <w:spacing w:line="240" w:lineRule="exact"/>
              <w:jc w:val="center"/>
              <w:rPr>
                <w:rFonts w:ascii="宋体" w:hAnsi="宋体" w:eastAsia="宋体" w:cs="宋体"/>
                <w:kern w:val="0"/>
                <w:sz w:val="20"/>
                <w:szCs w:val="20"/>
              </w:rPr>
            </w:pPr>
          </w:p>
        </w:tc>
        <w:tc>
          <w:tcPr>
            <w:tcW w:w="709" w:type="dxa"/>
            <w:gridSpan w:val="2"/>
            <w:tcBorders>
              <w:top w:val="nil"/>
              <w:left w:val="nil"/>
              <w:bottom w:val="single" w:color="auto" w:sz="4" w:space="0"/>
              <w:right w:val="single" w:color="auto" w:sz="4" w:space="0"/>
            </w:tcBorders>
            <w:noWrap w:val="0"/>
            <w:vAlign w:val="center"/>
          </w:tcPr>
          <w:p w14:paraId="64C5B2F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3A781582">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088F75B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15B3AC0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48852B">
            <w:pPr>
              <w:widowControl/>
              <w:spacing w:line="240" w:lineRule="exact"/>
              <w:jc w:val="center"/>
              <w:rPr>
                <w:rFonts w:ascii="宋体" w:hAnsi="宋体" w:eastAsia="宋体" w:cs="宋体"/>
                <w:kern w:val="0"/>
                <w:sz w:val="20"/>
                <w:szCs w:val="20"/>
              </w:rPr>
            </w:pPr>
          </w:p>
        </w:tc>
        <w:tc>
          <w:tcPr>
            <w:tcW w:w="2097" w:type="dxa"/>
            <w:gridSpan w:val="3"/>
            <w:tcBorders>
              <w:top w:val="single" w:color="auto" w:sz="4" w:space="0"/>
              <w:left w:val="nil"/>
              <w:bottom w:val="single" w:color="auto" w:sz="4" w:space="0"/>
              <w:right w:val="single" w:color="auto" w:sz="4" w:space="0"/>
            </w:tcBorders>
            <w:noWrap w:val="0"/>
            <w:vAlign w:val="center"/>
          </w:tcPr>
          <w:p w14:paraId="49915EF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其他资金</w:t>
            </w:r>
          </w:p>
        </w:tc>
        <w:tc>
          <w:tcPr>
            <w:tcW w:w="1033" w:type="dxa"/>
            <w:tcBorders>
              <w:top w:val="nil"/>
              <w:left w:val="nil"/>
              <w:bottom w:val="single" w:color="auto" w:sz="4" w:space="0"/>
              <w:right w:val="single" w:color="auto" w:sz="4" w:space="0"/>
            </w:tcBorders>
            <w:noWrap w:val="0"/>
            <w:vAlign w:val="center"/>
          </w:tcPr>
          <w:p w14:paraId="401192CA">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57351956">
            <w:pPr>
              <w:widowControl/>
              <w:spacing w:line="240" w:lineRule="exact"/>
              <w:jc w:val="center"/>
              <w:rPr>
                <w:rFonts w:hint="default" w:ascii="宋体" w:hAnsi="宋体" w:eastAsia="宋体" w:cs="宋体"/>
                <w:kern w:val="0"/>
                <w:sz w:val="20"/>
                <w:szCs w:val="20"/>
                <w:lang w:val="en-US" w:eastAsia="zh-CN"/>
              </w:rPr>
            </w:pPr>
          </w:p>
        </w:tc>
        <w:tc>
          <w:tcPr>
            <w:tcW w:w="1264" w:type="dxa"/>
            <w:gridSpan w:val="2"/>
            <w:tcBorders>
              <w:top w:val="nil"/>
              <w:left w:val="nil"/>
              <w:bottom w:val="single" w:color="auto" w:sz="4" w:space="0"/>
              <w:right w:val="single" w:color="auto" w:sz="4" w:space="0"/>
            </w:tcBorders>
            <w:noWrap w:val="0"/>
            <w:vAlign w:val="center"/>
          </w:tcPr>
          <w:p w14:paraId="3C88759D">
            <w:pPr>
              <w:widowControl/>
              <w:spacing w:line="240" w:lineRule="exact"/>
              <w:jc w:val="center"/>
              <w:rPr>
                <w:rFonts w:hint="default" w:ascii="宋体" w:hAnsi="宋体" w:eastAsia="宋体" w:cs="宋体"/>
                <w:kern w:val="0"/>
                <w:sz w:val="20"/>
                <w:szCs w:val="20"/>
                <w:lang w:val="en-US" w:eastAsia="zh-CN"/>
              </w:rPr>
            </w:pPr>
          </w:p>
        </w:tc>
        <w:tc>
          <w:tcPr>
            <w:tcW w:w="709" w:type="dxa"/>
            <w:gridSpan w:val="2"/>
            <w:tcBorders>
              <w:top w:val="nil"/>
              <w:left w:val="nil"/>
              <w:bottom w:val="single" w:color="auto" w:sz="4" w:space="0"/>
              <w:right w:val="single" w:color="auto" w:sz="4" w:space="0"/>
            </w:tcBorders>
            <w:noWrap w:val="0"/>
            <w:vAlign w:val="center"/>
          </w:tcPr>
          <w:p w14:paraId="4D6FB3B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3F618F92">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1D46E75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64998924">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37ACF39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年度总体目标</w:t>
            </w:r>
          </w:p>
        </w:tc>
        <w:tc>
          <w:tcPr>
            <w:tcW w:w="4960" w:type="dxa"/>
            <w:gridSpan w:val="7"/>
            <w:tcBorders>
              <w:top w:val="single" w:color="auto" w:sz="4" w:space="0"/>
              <w:left w:val="nil"/>
              <w:bottom w:val="single" w:color="auto" w:sz="4" w:space="0"/>
              <w:right w:val="single" w:color="auto" w:sz="4" w:space="0"/>
            </w:tcBorders>
            <w:noWrap w:val="0"/>
            <w:vAlign w:val="center"/>
          </w:tcPr>
          <w:p w14:paraId="3B79045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预期目标</w:t>
            </w:r>
          </w:p>
        </w:tc>
        <w:tc>
          <w:tcPr>
            <w:tcW w:w="3532" w:type="dxa"/>
            <w:gridSpan w:val="7"/>
            <w:tcBorders>
              <w:top w:val="single" w:color="auto" w:sz="4" w:space="0"/>
              <w:left w:val="nil"/>
              <w:bottom w:val="single" w:color="auto" w:sz="4" w:space="0"/>
              <w:right w:val="single" w:color="auto" w:sz="4" w:space="0"/>
            </w:tcBorders>
            <w:noWrap w:val="0"/>
            <w:vAlign w:val="center"/>
          </w:tcPr>
          <w:p w14:paraId="737B370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实际完成情况</w:t>
            </w:r>
          </w:p>
        </w:tc>
      </w:tr>
      <w:tr w14:paraId="0C306977">
        <w:tblPrEx>
          <w:tblCellMar>
            <w:top w:w="0" w:type="dxa"/>
            <w:left w:w="108" w:type="dxa"/>
            <w:bottom w:w="0" w:type="dxa"/>
            <w:right w:w="108" w:type="dxa"/>
          </w:tblCellMar>
        </w:tblPrEx>
        <w:trPr>
          <w:trHeight w:val="123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20336573">
            <w:pPr>
              <w:widowControl/>
              <w:spacing w:line="240" w:lineRule="exact"/>
              <w:jc w:val="center"/>
              <w:rPr>
                <w:rFonts w:ascii="宋体" w:hAnsi="宋体" w:eastAsia="宋体" w:cs="宋体"/>
                <w:kern w:val="0"/>
                <w:sz w:val="20"/>
                <w:szCs w:val="20"/>
              </w:rPr>
            </w:pPr>
          </w:p>
        </w:tc>
        <w:tc>
          <w:tcPr>
            <w:tcW w:w="4960" w:type="dxa"/>
            <w:gridSpan w:val="7"/>
            <w:tcBorders>
              <w:top w:val="single" w:color="auto" w:sz="4" w:space="0"/>
              <w:left w:val="nil"/>
              <w:bottom w:val="single" w:color="auto" w:sz="4" w:space="0"/>
              <w:right w:val="single" w:color="auto" w:sz="4" w:space="0"/>
            </w:tcBorders>
            <w:noWrap w:val="0"/>
            <w:vAlign w:val="center"/>
          </w:tcPr>
          <w:p w14:paraId="06ABCDBD">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rPr>
              <w:t>依据景德镇市人民政府、景德镇军分区《关于进一步做好驻市部队随军家属就业安置工作的实施意见》（景府办发[2014]15号）的规定：按全是上年度城镇非私营单位在岗职工平均工资的12%标准发放。</w:t>
            </w:r>
          </w:p>
        </w:tc>
        <w:tc>
          <w:tcPr>
            <w:tcW w:w="3532" w:type="dxa"/>
            <w:gridSpan w:val="7"/>
            <w:tcBorders>
              <w:top w:val="single" w:color="auto" w:sz="4" w:space="0"/>
              <w:left w:val="nil"/>
              <w:bottom w:val="single" w:color="auto" w:sz="4" w:space="0"/>
              <w:right w:val="single" w:color="auto" w:sz="4" w:space="0"/>
            </w:tcBorders>
            <w:noWrap w:val="0"/>
            <w:vAlign w:val="center"/>
          </w:tcPr>
          <w:p w14:paraId="5AABE206">
            <w:pPr>
              <w:widowControl/>
              <w:spacing w:line="240" w:lineRule="exact"/>
              <w:jc w:val="center"/>
              <w:rPr>
                <w:rFonts w:hint="default" w:ascii="宋体" w:hAnsi="宋体" w:eastAsia="宋体" w:cs="宋体"/>
                <w:kern w:val="0"/>
                <w:sz w:val="20"/>
                <w:szCs w:val="20"/>
                <w:lang w:val="en-US"/>
              </w:rPr>
            </w:pPr>
            <w:r>
              <w:rPr>
                <w:rFonts w:hint="eastAsia" w:ascii="宋体" w:hAnsi="宋体" w:eastAsia="宋体" w:cs="宋体"/>
                <w:kern w:val="0"/>
                <w:sz w:val="20"/>
                <w:szCs w:val="20"/>
                <w:lang w:val="en-US" w:eastAsia="zh-CN"/>
              </w:rPr>
              <w:t>均按要求足额发放。</w:t>
            </w:r>
          </w:p>
        </w:tc>
      </w:tr>
      <w:tr w14:paraId="5B2867A0">
        <w:tblPrEx>
          <w:tblCellMar>
            <w:top w:w="0" w:type="dxa"/>
            <w:left w:w="108" w:type="dxa"/>
            <w:bottom w:w="0" w:type="dxa"/>
            <w:right w:w="108" w:type="dxa"/>
          </w:tblCellMar>
        </w:tblPrEx>
        <w:trPr>
          <w:trHeight w:val="733" w:hRule="exact"/>
          <w:jc w:val="center"/>
        </w:trPr>
        <w:tc>
          <w:tcPr>
            <w:tcW w:w="588" w:type="dxa"/>
            <w:vMerge w:val="restart"/>
            <w:tcBorders>
              <w:top w:val="nil"/>
              <w:left w:val="single" w:color="auto" w:sz="4" w:space="0"/>
              <w:right w:val="single" w:color="auto" w:sz="4" w:space="0"/>
            </w:tcBorders>
            <w:noWrap w:val="0"/>
            <w:vAlign w:val="center"/>
          </w:tcPr>
          <w:p w14:paraId="6B952D9C">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绩</w:t>
            </w:r>
          </w:p>
          <w:p w14:paraId="4675F4E6">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效</w:t>
            </w:r>
          </w:p>
          <w:p w14:paraId="02D1582E">
            <w:pPr>
              <w:widowControl/>
              <w:spacing w:line="240" w:lineRule="exact"/>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指</w:t>
            </w:r>
          </w:p>
          <w:p w14:paraId="6434D1E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标</w:t>
            </w:r>
          </w:p>
        </w:tc>
        <w:tc>
          <w:tcPr>
            <w:tcW w:w="980" w:type="dxa"/>
            <w:tcBorders>
              <w:top w:val="nil"/>
              <w:left w:val="nil"/>
              <w:bottom w:val="single" w:color="auto" w:sz="4" w:space="0"/>
              <w:right w:val="single" w:color="auto" w:sz="4" w:space="0"/>
            </w:tcBorders>
            <w:noWrap w:val="0"/>
            <w:vAlign w:val="center"/>
          </w:tcPr>
          <w:p w14:paraId="710E464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一级指标</w:t>
            </w:r>
          </w:p>
        </w:tc>
        <w:tc>
          <w:tcPr>
            <w:tcW w:w="1112" w:type="dxa"/>
            <w:gridSpan w:val="2"/>
            <w:tcBorders>
              <w:top w:val="nil"/>
              <w:left w:val="nil"/>
              <w:bottom w:val="single" w:color="auto" w:sz="4" w:space="0"/>
              <w:right w:val="single" w:color="auto" w:sz="4" w:space="0"/>
            </w:tcBorders>
            <w:noWrap w:val="0"/>
            <w:vAlign w:val="center"/>
          </w:tcPr>
          <w:p w14:paraId="11392B0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二级指标</w:t>
            </w:r>
          </w:p>
        </w:tc>
        <w:tc>
          <w:tcPr>
            <w:tcW w:w="2218" w:type="dxa"/>
            <w:gridSpan w:val="3"/>
            <w:tcBorders>
              <w:top w:val="single" w:color="auto" w:sz="4" w:space="0"/>
              <w:left w:val="nil"/>
              <w:bottom w:val="single" w:color="auto" w:sz="4" w:space="0"/>
              <w:right w:val="single" w:color="auto" w:sz="4" w:space="0"/>
            </w:tcBorders>
            <w:noWrap w:val="0"/>
            <w:vAlign w:val="center"/>
          </w:tcPr>
          <w:p w14:paraId="570AD5C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三级指标</w:t>
            </w:r>
          </w:p>
        </w:tc>
        <w:tc>
          <w:tcPr>
            <w:tcW w:w="650" w:type="dxa"/>
            <w:tcBorders>
              <w:top w:val="nil"/>
              <w:left w:val="nil"/>
              <w:bottom w:val="single" w:color="auto" w:sz="4" w:space="0"/>
              <w:right w:val="single" w:color="auto" w:sz="4" w:space="0"/>
            </w:tcBorders>
            <w:noWrap w:val="0"/>
            <w:vAlign w:val="center"/>
          </w:tcPr>
          <w:p w14:paraId="5FBFBB0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w:t>
            </w:r>
          </w:p>
          <w:p w14:paraId="1DF9F22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指标值</w:t>
            </w:r>
          </w:p>
        </w:tc>
        <w:tc>
          <w:tcPr>
            <w:tcW w:w="981" w:type="dxa"/>
            <w:tcBorders>
              <w:top w:val="nil"/>
              <w:left w:val="nil"/>
              <w:bottom w:val="single" w:color="auto" w:sz="4" w:space="0"/>
              <w:right w:val="single" w:color="auto" w:sz="4" w:space="0"/>
            </w:tcBorders>
            <w:noWrap w:val="0"/>
            <w:vAlign w:val="center"/>
          </w:tcPr>
          <w:p w14:paraId="5A86364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w:t>
            </w:r>
          </w:p>
          <w:p w14:paraId="3FE2EEB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完成值</w:t>
            </w:r>
          </w:p>
        </w:tc>
        <w:tc>
          <w:tcPr>
            <w:tcW w:w="567" w:type="dxa"/>
            <w:gridSpan w:val="2"/>
            <w:tcBorders>
              <w:top w:val="nil"/>
              <w:left w:val="nil"/>
              <w:bottom w:val="single" w:color="auto" w:sz="4" w:space="0"/>
              <w:right w:val="single" w:color="auto" w:sz="4" w:space="0"/>
            </w:tcBorders>
            <w:noWrap w:val="0"/>
            <w:vAlign w:val="center"/>
          </w:tcPr>
          <w:p w14:paraId="7444BCB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567" w:type="dxa"/>
            <w:gridSpan w:val="2"/>
            <w:tcBorders>
              <w:top w:val="nil"/>
              <w:left w:val="nil"/>
              <w:bottom w:val="single" w:color="auto" w:sz="4" w:space="0"/>
              <w:right w:val="single" w:color="auto" w:sz="4" w:space="0"/>
            </w:tcBorders>
            <w:noWrap w:val="0"/>
            <w:vAlign w:val="center"/>
          </w:tcPr>
          <w:p w14:paraId="2235BBE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11427B1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偏差原因分析及改进措施</w:t>
            </w:r>
          </w:p>
        </w:tc>
      </w:tr>
      <w:tr w14:paraId="4D5FC1C4">
        <w:tblPrEx>
          <w:tblCellMar>
            <w:top w:w="0" w:type="dxa"/>
            <w:left w:w="108" w:type="dxa"/>
            <w:bottom w:w="0" w:type="dxa"/>
            <w:right w:w="108" w:type="dxa"/>
          </w:tblCellMar>
        </w:tblPrEx>
        <w:trPr>
          <w:trHeight w:val="721" w:hRule="exact"/>
          <w:jc w:val="center"/>
        </w:trPr>
        <w:tc>
          <w:tcPr>
            <w:tcW w:w="588" w:type="dxa"/>
            <w:vMerge w:val="continue"/>
            <w:tcBorders>
              <w:left w:val="single" w:color="auto" w:sz="4" w:space="0"/>
              <w:right w:val="single" w:color="auto" w:sz="4" w:space="0"/>
            </w:tcBorders>
            <w:noWrap w:val="0"/>
            <w:vAlign w:val="center"/>
          </w:tcPr>
          <w:p w14:paraId="5AD69CB7">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030DEBC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产出指标</w:t>
            </w:r>
          </w:p>
        </w:tc>
        <w:tc>
          <w:tcPr>
            <w:tcW w:w="1112" w:type="dxa"/>
            <w:gridSpan w:val="2"/>
            <w:tcBorders>
              <w:top w:val="nil"/>
              <w:left w:val="single" w:color="auto" w:sz="4" w:space="0"/>
              <w:bottom w:val="single" w:color="auto" w:sz="4" w:space="0"/>
              <w:right w:val="single" w:color="auto" w:sz="4" w:space="0"/>
            </w:tcBorders>
            <w:noWrap w:val="0"/>
            <w:vAlign w:val="center"/>
          </w:tcPr>
          <w:p w14:paraId="6063DDB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2218" w:type="dxa"/>
            <w:gridSpan w:val="3"/>
            <w:tcBorders>
              <w:top w:val="single" w:color="auto" w:sz="4" w:space="0"/>
              <w:left w:val="nil"/>
              <w:bottom w:val="single" w:color="auto" w:sz="4" w:space="0"/>
              <w:right w:val="single" w:color="auto" w:sz="4" w:space="0"/>
            </w:tcBorders>
            <w:noWrap w:val="0"/>
            <w:vAlign w:val="center"/>
          </w:tcPr>
          <w:p w14:paraId="03295D2F">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指标1：随军家属未就业符合条件</w:t>
            </w:r>
            <w:r>
              <w:rPr>
                <w:rFonts w:hint="eastAsia" w:ascii="宋体" w:hAnsi="宋体" w:cs="宋体"/>
                <w:color w:val="000000"/>
                <w:kern w:val="0"/>
                <w:sz w:val="20"/>
                <w:szCs w:val="20"/>
                <w:lang w:val="en-US" w:eastAsia="zh-CN"/>
              </w:rPr>
              <w:t>人数</w:t>
            </w:r>
          </w:p>
        </w:tc>
        <w:tc>
          <w:tcPr>
            <w:tcW w:w="650" w:type="dxa"/>
            <w:tcBorders>
              <w:top w:val="nil"/>
              <w:left w:val="nil"/>
              <w:bottom w:val="single" w:color="auto" w:sz="4" w:space="0"/>
              <w:right w:val="single" w:color="auto" w:sz="4" w:space="0"/>
            </w:tcBorders>
            <w:noWrap w:val="0"/>
            <w:vAlign w:val="center"/>
          </w:tcPr>
          <w:p w14:paraId="00922B98">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83人</w:t>
            </w:r>
          </w:p>
        </w:tc>
        <w:tc>
          <w:tcPr>
            <w:tcW w:w="981" w:type="dxa"/>
            <w:tcBorders>
              <w:top w:val="nil"/>
              <w:left w:val="nil"/>
              <w:bottom w:val="single" w:color="auto" w:sz="4" w:space="0"/>
              <w:right w:val="single" w:color="auto" w:sz="4" w:space="0"/>
            </w:tcBorders>
            <w:noWrap w:val="0"/>
            <w:vAlign w:val="center"/>
          </w:tcPr>
          <w:p w14:paraId="2B5BC69B">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83人</w:t>
            </w:r>
          </w:p>
        </w:tc>
        <w:tc>
          <w:tcPr>
            <w:tcW w:w="567" w:type="dxa"/>
            <w:gridSpan w:val="2"/>
            <w:tcBorders>
              <w:top w:val="nil"/>
              <w:left w:val="nil"/>
              <w:bottom w:val="single" w:color="auto" w:sz="4" w:space="0"/>
              <w:right w:val="single" w:color="auto" w:sz="4" w:space="0"/>
            </w:tcBorders>
            <w:noWrap w:val="0"/>
            <w:vAlign w:val="center"/>
          </w:tcPr>
          <w:p w14:paraId="1F6DD879">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26E81875">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6BAD9E09">
            <w:pPr>
              <w:widowControl/>
              <w:spacing w:line="240" w:lineRule="exact"/>
              <w:jc w:val="center"/>
              <w:rPr>
                <w:rFonts w:ascii="宋体" w:hAnsi="宋体" w:eastAsia="宋体" w:cs="宋体"/>
                <w:kern w:val="0"/>
                <w:sz w:val="20"/>
                <w:szCs w:val="20"/>
              </w:rPr>
            </w:pPr>
          </w:p>
        </w:tc>
      </w:tr>
      <w:tr w14:paraId="2ED52574">
        <w:tblPrEx>
          <w:tblCellMar>
            <w:top w:w="0" w:type="dxa"/>
            <w:left w:w="108" w:type="dxa"/>
            <w:bottom w:w="0" w:type="dxa"/>
            <w:right w:w="108" w:type="dxa"/>
          </w:tblCellMar>
        </w:tblPrEx>
        <w:trPr>
          <w:trHeight w:val="810" w:hRule="exact"/>
          <w:jc w:val="center"/>
        </w:trPr>
        <w:tc>
          <w:tcPr>
            <w:tcW w:w="588" w:type="dxa"/>
            <w:vMerge w:val="continue"/>
            <w:tcBorders>
              <w:left w:val="single" w:color="auto" w:sz="4" w:space="0"/>
              <w:right w:val="single" w:color="auto" w:sz="4" w:space="0"/>
            </w:tcBorders>
            <w:noWrap w:val="0"/>
            <w:vAlign w:val="center"/>
          </w:tcPr>
          <w:p w14:paraId="22C8CC3D">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B53310C">
            <w:pPr>
              <w:widowControl/>
              <w:spacing w:line="240" w:lineRule="exact"/>
              <w:jc w:val="center"/>
              <w:rPr>
                <w:rFonts w:ascii="宋体" w:hAnsi="宋体" w:eastAsia="宋体" w:cs="宋体"/>
                <w:kern w:val="0"/>
                <w:sz w:val="20"/>
                <w:szCs w:val="20"/>
              </w:rPr>
            </w:pPr>
          </w:p>
        </w:tc>
        <w:tc>
          <w:tcPr>
            <w:tcW w:w="1112" w:type="dxa"/>
            <w:gridSpan w:val="2"/>
            <w:tcBorders>
              <w:top w:val="nil"/>
              <w:left w:val="single" w:color="auto" w:sz="4" w:space="0"/>
              <w:bottom w:val="single" w:color="auto" w:sz="4" w:space="0"/>
              <w:right w:val="single" w:color="auto" w:sz="4" w:space="0"/>
            </w:tcBorders>
            <w:noWrap w:val="0"/>
            <w:vAlign w:val="center"/>
          </w:tcPr>
          <w:p w14:paraId="111835B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2218" w:type="dxa"/>
            <w:gridSpan w:val="3"/>
            <w:tcBorders>
              <w:top w:val="single" w:color="auto" w:sz="4" w:space="0"/>
              <w:left w:val="nil"/>
              <w:bottom w:val="single" w:color="auto" w:sz="4" w:space="0"/>
              <w:right w:val="single" w:color="auto" w:sz="4" w:space="0"/>
            </w:tcBorders>
            <w:noWrap w:val="0"/>
            <w:vAlign w:val="center"/>
          </w:tcPr>
          <w:p w14:paraId="73E2F71E">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指标1：随军家属未就业生活补助发放</w:t>
            </w:r>
            <w:r>
              <w:rPr>
                <w:rFonts w:hint="eastAsia" w:ascii="宋体" w:hAnsi="宋体" w:cs="宋体"/>
                <w:color w:val="000000"/>
                <w:kern w:val="0"/>
                <w:sz w:val="20"/>
                <w:szCs w:val="20"/>
                <w:lang w:val="en-US" w:eastAsia="zh-CN"/>
              </w:rPr>
              <w:t>合规率</w:t>
            </w:r>
          </w:p>
        </w:tc>
        <w:tc>
          <w:tcPr>
            <w:tcW w:w="650" w:type="dxa"/>
            <w:tcBorders>
              <w:top w:val="nil"/>
              <w:left w:val="nil"/>
              <w:bottom w:val="single" w:color="auto" w:sz="4" w:space="0"/>
              <w:right w:val="single" w:color="auto" w:sz="4" w:space="0"/>
            </w:tcBorders>
            <w:noWrap w:val="0"/>
            <w:vAlign w:val="center"/>
          </w:tcPr>
          <w:p w14:paraId="177F0BA0">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1695569A">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410290A5">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46A4C761">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537728DF">
            <w:pPr>
              <w:widowControl/>
              <w:spacing w:line="240" w:lineRule="exact"/>
              <w:jc w:val="center"/>
              <w:rPr>
                <w:rFonts w:ascii="宋体" w:hAnsi="宋体" w:eastAsia="宋体" w:cs="宋体"/>
                <w:kern w:val="0"/>
                <w:sz w:val="20"/>
                <w:szCs w:val="20"/>
              </w:rPr>
            </w:pPr>
          </w:p>
        </w:tc>
      </w:tr>
      <w:tr w14:paraId="167DF86A">
        <w:tblPrEx>
          <w:tblCellMar>
            <w:top w:w="0" w:type="dxa"/>
            <w:left w:w="108" w:type="dxa"/>
            <w:bottom w:w="0" w:type="dxa"/>
            <w:right w:w="108" w:type="dxa"/>
          </w:tblCellMar>
        </w:tblPrEx>
        <w:trPr>
          <w:trHeight w:val="837" w:hRule="exact"/>
          <w:jc w:val="center"/>
        </w:trPr>
        <w:tc>
          <w:tcPr>
            <w:tcW w:w="588" w:type="dxa"/>
            <w:vMerge w:val="continue"/>
            <w:tcBorders>
              <w:left w:val="single" w:color="auto" w:sz="4" w:space="0"/>
              <w:right w:val="single" w:color="auto" w:sz="4" w:space="0"/>
            </w:tcBorders>
            <w:noWrap w:val="0"/>
            <w:vAlign w:val="center"/>
          </w:tcPr>
          <w:p w14:paraId="1762466B">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03014FF">
            <w:pPr>
              <w:widowControl/>
              <w:spacing w:line="240" w:lineRule="exact"/>
              <w:jc w:val="center"/>
              <w:rPr>
                <w:rFonts w:ascii="宋体" w:hAnsi="宋体" w:eastAsia="宋体" w:cs="宋体"/>
                <w:kern w:val="0"/>
                <w:sz w:val="20"/>
                <w:szCs w:val="20"/>
              </w:rPr>
            </w:pPr>
          </w:p>
        </w:tc>
        <w:tc>
          <w:tcPr>
            <w:tcW w:w="1112" w:type="dxa"/>
            <w:gridSpan w:val="2"/>
            <w:tcBorders>
              <w:top w:val="nil"/>
              <w:left w:val="single" w:color="auto" w:sz="4" w:space="0"/>
              <w:bottom w:val="single" w:color="auto" w:sz="4" w:space="0"/>
              <w:right w:val="single" w:color="auto" w:sz="4" w:space="0"/>
            </w:tcBorders>
            <w:noWrap w:val="0"/>
            <w:vAlign w:val="center"/>
          </w:tcPr>
          <w:p w14:paraId="064EA47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2218" w:type="dxa"/>
            <w:gridSpan w:val="3"/>
            <w:tcBorders>
              <w:top w:val="single" w:color="auto" w:sz="4" w:space="0"/>
              <w:left w:val="nil"/>
              <w:bottom w:val="single" w:color="auto" w:sz="4" w:space="0"/>
              <w:right w:val="single" w:color="auto" w:sz="4" w:space="0"/>
            </w:tcBorders>
            <w:noWrap w:val="0"/>
            <w:vAlign w:val="center"/>
          </w:tcPr>
          <w:p w14:paraId="18FA4842">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指标1：发放随军家属未就业生活补助及时</w:t>
            </w:r>
            <w:r>
              <w:rPr>
                <w:rFonts w:hint="eastAsia" w:ascii="宋体" w:hAnsi="宋体" w:cs="宋体"/>
                <w:color w:val="000000"/>
                <w:kern w:val="0"/>
                <w:sz w:val="20"/>
                <w:szCs w:val="20"/>
                <w:lang w:val="en-US" w:eastAsia="zh-CN"/>
              </w:rPr>
              <w:t>率</w:t>
            </w:r>
          </w:p>
        </w:tc>
        <w:tc>
          <w:tcPr>
            <w:tcW w:w="650" w:type="dxa"/>
            <w:tcBorders>
              <w:top w:val="nil"/>
              <w:left w:val="nil"/>
              <w:bottom w:val="single" w:color="auto" w:sz="4" w:space="0"/>
              <w:right w:val="single" w:color="auto" w:sz="4" w:space="0"/>
            </w:tcBorders>
            <w:noWrap w:val="0"/>
            <w:vAlign w:val="center"/>
          </w:tcPr>
          <w:p w14:paraId="79BD673C">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004F8058">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785C8106">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0A33257C">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544E5C02">
            <w:pPr>
              <w:widowControl/>
              <w:spacing w:line="240" w:lineRule="exact"/>
              <w:jc w:val="center"/>
              <w:rPr>
                <w:rFonts w:ascii="宋体" w:hAnsi="宋体" w:eastAsia="宋体" w:cs="宋体"/>
                <w:kern w:val="0"/>
                <w:sz w:val="20"/>
                <w:szCs w:val="20"/>
              </w:rPr>
            </w:pPr>
          </w:p>
        </w:tc>
      </w:tr>
      <w:tr w14:paraId="1DCC2FAA">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C69B4D1">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7D07586">
            <w:pPr>
              <w:widowControl/>
              <w:spacing w:line="240" w:lineRule="exact"/>
              <w:jc w:val="center"/>
              <w:rPr>
                <w:rFonts w:ascii="宋体" w:hAnsi="宋体" w:eastAsia="宋体" w:cs="宋体"/>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3350824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成本指标</w:t>
            </w:r>
          </w:p>
        </w:tc>
        <w:tc>
          <w:tcPr>
            <w:tcW w:w="2218" w:type="dxa"/>
            <w:gridSpan w:val="3"/>
            <w:tcBorders>
              <w:top w:val="single" w:color="auto" w:sz="4" w:space="0"/>
              <w:left w:val="nil"/>
              <w:bottom w:val="single" w:color="auto" w:sz="4" w:space="0"/>
              <w:right w:val="single" w:color="auto" w:sz="4" w:space="0"/>
            </w:tcBorders>
            <w:noWrap w:val="0"/>
            <w:vAlign w:val="center"/>
          </w:tcPr>
          <w:p w14:paraId="1A0EED9C">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2F7529EC">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FF4F15F">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C246EF1">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2B7D6AA6">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A4CCB43">
            <w:pPr>
              <w:widowControl/>
              <w:spacing w:line="240" w:lineRule="exact"/>
              <w:jc w:val="center"/>
              <w:rPr>
                <w:rFonts w:ascii="宋体" w:hAnsi="宋体" w:eastAsia="宋体" w:cs="宋体"/>
                <w:kern w:val="0"/>
                <w:sz w:val="20"/>
                <w:szCs w:val="20"/>
              </w:rPr>
            </w:pPr>
          </w:p>
        </w:tc>
      </w:tr>
      <w:tr w14:paraId="4E7E8CFE">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17CBDDC5">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FB666A5">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6DC3C0EB">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60BEE09C">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070B6409">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4C86CAC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6E9CE2E">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12B8049">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795ADBE">
            <w:pPr>
              <w:widowControl/>
              <w:spacing w:line="240" w:lineRule="exact"/>
              <w:jc w:val="center"/>
              <w:rPr>
                <w:rFonts w:ascii="宋体" w:hAnsi="宋体" w:eastAsia="宋体" w:cs="宋体"/>
                <w:kern w:val="0"/>
                <w:sz w:val="20"/>
                <w:szCs w:val="20"/>
              </w:rPr>
            </w:pPr>
          </w:p>
        </w:tc>
      </w:tr>
      <w:tr w14:paraId="6F5D8982">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882DE17">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2DB9714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效益指标</w:t>
            </w: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13D6CEF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经济效益</w:t>
            </w:r>
          </w:p>
          <w:p w14:paraId="7AAAE8A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6C203EFB">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0FFFA90D">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4EED6A61">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0B1CCD49">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050EBB37">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06CF67D">
            <w:pPr>
              <w:widowControl/>
              <w:spacing w:line="240" w:lineRule="exact"/>
              <w:jc w:val="center"/>
              <w:rPr>
                <w:rFonts w:ascii="宋体" w:hAnsi="宋体" w:eastAsia="宋体" w:cs="宋体"/>
                <w:kern w:val="0"/>
                <w:sz w:val="20"/>
                <w:szCs w:val="20"/>
              </w:rPr>
            </w:pPr>
          </w:p>
        </w:tc>
      </w:tr>
      <w:tr w14:paraId="4F9E9EA1">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DB951E7">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F2FDCC3">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01D806B4">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192D6B96">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5AB26CDD">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EC4316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B23A575">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FC03337">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512CE655">
            <w:pPr>
              <w:widowControl/>
              <w:spacing w:line="240" w:lineRule="exact"/>
              <w:jc w:val="center"/>
              <w:rPr>
                <w:rFonts w:ascii="宋体" w:hAnsi="宋体" w:eastAsia="宋体" w:cs="宋体"/>
                <w:kern w:val="0"/>
                <w:sz w:val="20"/>
                <w:szCs w:val="20"/>
              </w:rPr>
            </w:pPr>
          </w:p>
        </w:tc>
      </w:tr>
      <w:tr w14:paraId="6AC01BFB">
        <w:tblPrEx>
          <w:tblCellMar>
            <w:top w:w="0" w:type="dxa"/>
            <w:left w:w="108" w:type="dxa"/>
            <w:bottom w:w="0" w:type="dxa"/>
            <w:right w:w="108" w:type="dxa"/>
          </w:tblCellMar>
        </w:tblPrEx>
        <w:trPr>
          <w:trHeight w:val="617" w:hRule="exact"/>
          <w:jc w:val="center"/>
        </w:trPr>
        <w:tc>
          <w:tcPr>
            <w:tcW w:w="588" w:type="dxa"/>
            <w:vMerge w:val="continue"/>
            <w:tcBorders>
              <w:left w:val="single" w:color="auto" w:sz="4" w:space="0"/>
              <w:right w:val="single" w:color="auto" w:sz="4" w:space="0"/>
            </w:tcBorders>
            <w:noWrap w:val="0"/>
            <w:vAlign w:val="center"/>
          </w:tcPr>
          <w:p w14:paraId="2E22CA29">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21DA064">
            <w:pPr>
              <w:widowControl/>
              <w:spacing w:line="240" w:lineRule="exact"/>
              <w:jc w:val="center"/>
              <w:rPr>
                <w:rFonts w:ascii="宋体" w:hAnsi="宋体" w:eastAsia="宋体" w:cs="宋体"/>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19CEDEF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社会效益</w:t>
            </w:r>
          </w:p>
          <w:p w14:paraId="481DED7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38368A14">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指标1：</w:t>
            </w:r>
            <w:r>
              <w:rPr>
                <w:rFonts w:hint="eastAsia" w:ascii="宋体" w:hAnsi="宋体" w:cs="宋体"/>
                <w:color w:val="000000"/>
                <w:kern w:val="0"/>
                <w:sz w:val="20"/>
                <w:szCs w:val="20"/>
                <w:lang w:val="en-US" w:eastAsia="zh-CN"/>
              </w:rPr>
              <w:t>提升</w:t>
            </w:r>
            <w:r>
              <w:rPr>
                <w:rFonts w:hint="eastAsia" w:ascii="宋体" w:hAnsi="宋体" w:eastAsia="宋体" w:cs="宋体"/>
                <w:color w:val="000000"/>
                <w:kern w:val="0"/>
                <w:sz w:val="20"/>
                <w:szCs w:val="20"/>
                <w:lang w:val="en-US" w:eastAsia="zh-CN"/>
              </w:rPr>
              <w:t>军人荣誉感认知度</w:t>
            </w:r>
          </w:p>
        </w:tc>
        <w:tc>
          <w:tcPr>
            <w:tcW w:w="650" w:type="dxa"/>
            <w:tcBorders>
              <w:top w:val="nil"/>
              <w:left w:val="nil"/>
              <w:bottom w:val="single" w:color="auto" w:sz="4" w:space="0"/>
              <w:right w:val="single" w:color="auto" w:sz="4" w:space="0"/>
            </w:tcBorders>
            <w:noWrap w:val="0"/>
            <w:vAlign w:val="center"/>
          </w:tcPr>
          <w:p w14:paraId="679C4F21">
            <w:pPr>
              <w:widowControl/>
              <w:spacing w:line="240" w:lineRule="exact"/>
              <w:jc w:val="center"/>
              <w:rPr>
                <w:rFonts w:ascii="宋体" w:hAnsi="宋体" w:eastAsia="宋体" w:cs="宋体"/>
                <w:kern w:val="0"/>
                <w:sz w:val="20"/>
                <w:szCs w:val="20"/>
              </w:rPr>
            </w:pPr>
            <w:r>
              <w:rPr>
                <w:rFonts w:hint="eastAsia" w:ascii="宋体" w:hAnsi="宋体" w:cs="宋体"/>
                <w:kern w:val="0"/>
                <w:sz w:val="20"/>
                <w:szCs w:val="20"/>
                <w:lang w:val="en-US" w:eastAsia="zh-CN"/>
              </w:rPr>
              <w:t>有效提升</w:t>
            </w:r>
          </w:p>
        </w:tc>
        <w:tc>
          <w:tcPr>
            <w:tcW w:w="981" w:type="dxa"/>
            <w:tcBorders>
              <w:top w:val="nil"/>
              <w:left w:val="nil"/>
              <w:bottom w:val="single" w:color="auto" w:sz="4" w:space="0"/>
              <w:right w:val="single" w:color="auto" w:sz="4" w:space="0"/>
            </w:tcBorders>
            <w:noWrap w:val="0"/>
            <w:vAlign w:val="center"/>
          </w:tcPr>
          <w:p w14:paraId="40AAD4CA">
            <w:pPr>
              <w:widowControl/>
              <w:spacing w:line="240" w:lineRule="exact"/>
              <w:jc w:val="center"/>
              <w:rPr>
                <w:rFonts w:ascii="宋体" w:hAnsi="宋体" w:eastAsia="宋体" w:cs="宋体"/>
                <w:kern w:val="0"/>
                <w:sz w:val="20"/>
                <w:szCs w:val="20"/>
              </w:rPr>
            </w:pPr>
            <w:r>
              <w:rPr>
                <w:rFonts w:hint="eastAsia" w:ascii="宋体" w:hAnsi="宋体" w:cs="宋体"/>
                <w:kern w:val="0"/>
                <w:sz w:val="20"/>
                <w:szCs w:val="20"/>
                <w:lang w:val="en-US" w:eastAsia="zh-CN"/>
              </w:rPr>
              <w:t>有效提升</w:t>
            </w:r>
          </w:p>
        </w:tc>
        <w:tc>
          <w:tcPr>
            <w:tcW w:w="567" w:type="dxa"/>
            <w:gridSpan w:val="2"/>
            <w:tcBorders>
              <w:top w:val="nil"/>
              <w:left w:val="nil"/>
              <w:bottom w:val="single" w:color="auto" w:sz="4" w:space="0"/>
              <w:right w:val="single" w:color="auto" w:sz="4" w:space="0"/>
            </w:tcBorders>
            <w:noWrap w:val="0"/>
            <w:vAlign w:val="center"/>
          </w:tcPr>
          <w:p w14:paraId="7C8725C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6078BA0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4FE1791F">
            <w:pPr>
              <w:widowControl/>
              <w:spacing w:line="240" w:lineRule="exact"/>
              <w:jc w:val="left"/>
              <w:rPr>
                <w:rFonts w:ascii="宋体" w:hAnsi="宋体" w:eastAsia="宋体" w:cs="宋体"/>
                <w:kern w:val="0"/>
                <w:sz w:val="20"/>
                <w:szCs w:val="20"/>
              </w:rPr>
            </w:pPr>
          </w:p>
        </w:tc>
      </w:tr>
      <w:tr w14:paraId="629E0322">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DA471BD">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E0FAC41">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35185AEA">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4CD1198B">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655FC2DE">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62D8EBC7">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8932E94">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28FC0860">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2CB9B4C0">
            <w:pPr>
              <w:widowControl/>
              <w:spacing w:line="240" w:lineRule="exact"/>
              <w:jc w:val="center"/>
              <w:rPr>
                <w:rFonts w:ascii="宋体" w:hAnsi="宋体" w:eastAsia="宋体" w:cs="宋体"/>
                <w:kern w:val="0"/>
                <w:sz w:val="20"/>
                <w:szCs w:val="20"/>
              </w:rPr>
            </w:pPr>
          </w:p>
        </w:tc>
      </w:tr>
      <w:tr w14:paraId="02A5D1E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D10D1BD">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8899E87">
            <w:pPr>
              <w:widowControl/>
              <w:spacing w:line="240" w:lineRule="exact"/>
              <w:jc w:val="center"/>
              <w:rPr>
                <w:rFonts w:ascii="宋体" w:hAnsi="宋体" w:eastAsia="宋体" w:cs="宋体"/>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0C640A6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生态效益</w:t>
            </w:r>
          </w:p>
          <w:p w14:paraId="41064EA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06331A87">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34490D72">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C42BA99">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76265B6">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9B75CCB">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C8EBCF8">
            <w:pPr>
              <w:widowControl/>
              <w:spacing w:line="240" w:lineRule="exact"/>
              <w:jc w:val="center"/>
              <w:rPr>
                <w:rFonts w:ascii="宋体" w:hAnsi="宋体" w:eastAsia="宋体" w:cs="宋体"/>
                <w:kern w:val="0"/>
                <w:sz w:val="20"/>
                <w:szCs w:val="20"/>
              </w:rPr>
            </w:pPr>
          </w:p>
        </w:tc>
      </w:tr>
      <w:tr w14:paraId="3D103ED6">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304F909">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BA1B3DD">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4246FB78">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185F9170">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241E263B">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7F27BF24">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57182941">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A910F39">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54282532">
            <w:pPr>
              <w:widowControl/>
              <w:spacing w:line="240" w:lineRule="exact"/>
              <w:jc w:val="center"/>
              <w:rPr>
                <w:rFonts w:ascii="宋体" w:hAnsi="宋体" w:eastAsia="宋体" w:cs="宋体"/>
                <w:kern w:val="0"/>
                <w:sz w:val="20"/>
                <w:szCs w:val="20"/>
              </w:rPr>
            </w:pPr>
          </w:p>
        </w:tc>
      </w:tr>
      <w:tr w14:paraId="36141D57">
        <w:tblPrEx>
          <w:tblCellMar>
            <w:top w:w="0" w:type="dxa"/>
            <w:left w:w="108" w:type="dxa"/>
            <w:bottom w:w="0" w:type="dxa"/>
            <w:right w:w="108" w:type="dxa"/>
          </w:tblCellMar>
        </w:tblPrEx>
        <w:trPr>
          <w:trHeight w:val="370" w:hRule="exact"/>
          <w:jc w:val="center"/>
        </w:trPr>
        <w:tc>
          <w:tcPr>
            <w:tcW w:w="588" w:type="dxa"/>
            <w:vMerge w:val="continue"/>
            <w:tcBorders>
              <w:left w:val="single" w:color="auto" w:sz="4" w:space="0"/>
              <w:right w:val="single" w:color="auto" w:sz="4" w:space="0"/>
            </w:tcBorders>
            <w:noWrap w:val="0"/>
            <w:vAlign w:val="center"/>
          </w:tcPr>
          <w:p w14:paraId="41523C32">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138D455">
            <w:pPr>
              <w:widowControl/>
              <w:spacing w:line="240" w:lineRule="exact"/>
              <w:jc w:val="center"/>
              <w:rPr>
                <w:rFonts w:ascii="宋体" w:hAnsi="宋体" w:eastAsia="宋体" w:cs="宋体"/>
                <w:kern w:val="0"/>
                <w:sz w:val="20"/>
                <w:szCs w:val="20"/>
              </w:rPr>
            </w:pP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6C1D8F8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可持续影响指标</w:t>
            </w:r>
          </w:p>
        </w:tc>
        <w:tc>
          <w:tcPr>
            <w:tcW w:w="2218" w:type="dxa"/>
            <w:gridSpan w:val="3"/>
            <w:tcBorders>
              <w:top w:val="single" w:color="auto" w:sz="4" w:space="0"/>
              <w:left w:val="nil"/>
              <w:bottom w:val="single" w:color="auto" w:sz="4" w:space="0"/>
              <w:right w:val="single" w:color="auto" w:sz="4" w:space="0"/>
            </w:tcBorders>
            <w:noWrap w:val="0"/>
            <w:vAlign w:val="center"/>
          </w:tcPr>
          <w:p w14:paraId="77C6EB32">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6319925C">
            <w:pPr>
              <w:widowControl/>
              <w:spacing w:line="240" w:lineRule="exact"/>
              <w:jc w:val="center"/>
              <w:rPr>
                <w:rFonts w:hint="default" w:ascii="宋体" w:hAnsi="宋体" w:eastAsia="宋体" w:cs="宋体"/>
                <w:kern w:val="0"/>
                <w:sz w:val="20"/>
                <w:szCs w:val="20"/>
                <w:lang w:val="en-US" w:eastAsia="zh-CN" w:bidi="ar-SA"/>
              </w:rPr>
            </w:pPr>
          </w:p>
        </w:tc>
        <w:tc>
          <w:tcPr>
            <w:tcW w:w="981" w:type="dxa"/>
            <w:tcBorders>
              <w:top w:val="nil"/>
              <w:left w:val="nil"/>
              <w:bottom w:val="single" w:color="auto" w:sz="4" w:space="0"/>
              <w:right w:val="single" w:color="auto" w:sz="4" w:space="0"/>
            </w:tcBorders>
            <w:noWrap w:val="0"/>
            <w:vAlign w:val="center"/>
          </w:tcPr>
          <w:p w14:paraId="06CE9668">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53CF1747">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04DBF30D">
            <w:pPr>
              <w:widowControl/>
              <w:spacing w:line="240" w:lineRule="exact"/>
              <w:jc w:val="center"/>
              <w:rPr>
                <w:rFonts w:hint="default" w:ascii="宋体" w:hAnsi="宋体" w:eastAsia="宋体" w:cs="宋体"/>
                <w:kern w:val="0"/>
                <w:sz w:val="20"/>
                <w:szCs w:val="20"/>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14:paraId="6741E8E6">
            <w:pPr>
              <w:widowControl/>
              <w:spacing w:line="240" w:lineRule="exact"/>
              <w:jc w:val="center"/>
              <w:rPr>
                <w:rFonts w:ascii="宋体" w:hAnsi="宋体" w:eastAsia="宋体" w:cs="宋体"/>
                <w:kern w:val="0"/>
                <w:sz w:val="20"/>
                <w:szCs w:val="20"/>
              </w:rPr>
            </w:pPr>
          </w:p>
        </w:tc>
      </w:tr>
      <w:tr w14:paraId="5E2B27F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778AE542">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EAB47DD">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42251BBF">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1A67B41A">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391D3B62">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0BC77FEE">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78AF2CD2">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44DBC36">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6456AE7C">
            <w:pPr>
              <w:widowControl/>
              <w:spacing w:line="240" w:lineRule="exact"/>
              <w:jc w:val="center"/>
              <w:rPr>
                <w:rFonts w:ascii="宋体" w:hAnsi="宋体" w:eastAsia="宋体" w:cs="宋体"/>
                <w:kern w:val="0"/>
                <w:sz w:val="20"/>
                <w:szCs w:val="20"/>
              </w:rPr>
            </w:pPr>
          </w:p>
        </w:tc>
      </w:tr>
      <w:tr w14:paraId="59253CE1">
        <w:tblPrEx>
          <w:tblCellMar>
            <w:top w:w="0" w:type="dxa"/>
            <w:left w:w="108" w:type="dxa"/>
            <w:bottom w:w="0" w:type="dxa"/>
            <w:right w:w="108" w:type="dxa"/>
          </w:tblCellMar>
        </w:tblPrEx>
        <w:trPr>
          <w:trHeight w:val="705" w:hRule="exact"/>
          <w:jc w:val="center"/>
        </w:trPr>
        <w:tc>
          <w:tcPr>
            <w:tcW w:w="588" w:type="dxa"/>
            <w:vMerge w:val="continue"/>
            <w:tcBorders>
              <w:left w:val="single" w:color="auto" w:sz="4" w:space="0"/>
              <w:right w:val="single" w:color="auto" w:sz="4" w:space="0"/>
            </w:tcBorders>
            <w:noWrap w:val="0"/>
            <w:vAlign w:val="center"/>
          </w:tcPr>
          <w:p w14:paraId="27C917C9">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right w:val="single" w:color="auto" w:sz="4" w:space="0"/>
            </w:tcBorders>
            <w:noWrap w:val="0"/>
            <w:vAlign w:val="center"/>
          </w:tcPr>
          <w:p w14:paraId="563DE27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满意度</w:t>
            </w:r>
          </w:p>
          <w:p w14:paraId="6A55ED6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1112" w:type="dxa"/>
            <w:gridSpan w:val="2"/>
            <w:vMerge w:val="restart"/>
            <w:tcBorders>
              <w:top w:val="nil"/>
              <w:left w:val="single" w:color="auto" w:sz="4" w:space="0"/>
              <w:bottom w:val="single" w:color="auto" w:sz="4" w:space="0"/>
              <w:right w:val="single" w:color="auto" w:sz="4" w:space="0"/>
            </w:tcBorders>
            <w:noWrap w:val="0"/>
            <w:vAlign w:val="center"/>
          </w:tcPr>
          <w:p w14:paraId="66329F2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服务对象满意度指标</w:t>
            </w:r>
          </w:p>
        </w:tc>
        <w:tc>
          <w:tcPr>
            <w:tcW w:w="2218" w:type="dxa"/>
            <w:gridSpan w:val="3"/>
            <w:tcBorders>
              <w:top w:val="single" w:color="auto" w:sz="4" w:space="0"/>
              <w:left w:val="nil"/>
              <w:bottom w:val="single" w:color="auto" w:sz="4" w:space="0"/>
              <w:right w:val="single" w:color="auto" w:sz="4" w:space="0"/>
            </w:tcBorders>
            <w:noWrap w:val="0"/>
            <w:vAlign w:val="center"/>
          </w:tcPr>
          <w:p w14:paraId="2B2FBE3B">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指标1：符合发放条件军属满意度</w:t>
            </w:r>
          </w:p>
        </w:tc>
        <w:tc>
          <w:tcPr>
            <w:tcW w:w="650" w:type="dxa"/>
            <w:tcBorders>
              <w:top w:val="nil"/>
              <w:left w:val="nil"/>
              <w:bottom w:val="single" w:color="auto" w:sz="4" w:space="0"/>
              <w:right w:val="single" w:color="auto" w:sz="4" w:space="0"/>
            </w:tcBorders>
            <w:noWrap w:val="0"/>
            <w:vAlign w:val="center"/>
          </w:tcPr>
          <w:p w14:paraId="55CFB5C0">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3D817B83">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7BAD6265">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4F66FFC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1A582333">
            <w:pPr>
              <w:widowControl/>
              <w:spacing w:line="240" w:lineRule="exact"/>
              <w:jc w:val="center"/>
              <w:rPr>
                <w:rFonts w:ascii="宋体" w:hAnsi="宋体" w:eastAsia="宋体" w:cs="宋体"/>
                <w:kern w:val="0"/>
                <w:sz w:val="20"/>
                <w:szCs w:val="20"/>
              </w:rPr>
            </w:pPr>
          </w:p>
        </w:tc>
      </w:tr>
      <w:tr w14:paraId="4F95DE22">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3FE63CFC">
            <w:pPr>
              <w:widowControl/>
              <w:spacing w:line="240" w:lineRule="exact"/>
              <w:jc w:val="center"/>
              <w:rPr>
                <w:rFonts w:ascii="宋体" w:hAnsi="宋体" w:eastAsia="宋体" w:cs="宋体"/>
                <w:kern w:val="0"/>
                <w:sz w:val="20"/>
                <w:szCs w:val="20"/>
              </w:rPr>
            </w:pPr>
          </w:p>
        </w:tc>
        <w:tc>
          <w:tcPr>
            <w:tcW w:w="980" w:type="dxa"/>
            <w:vMerge w:val="continue"/>
            <w:tcBorders>
              <w:left w:val="single" w:color="auto" w:sz="4" w:space="0"/>
              <w:right w:val="single" w:color="auto" w:sz="4" w:space="0"/>
            </w:tcBorders>
            <w:noWrap w:val="0"/>
            <w:vAlign w:val="center"/>
          </w:tcPr>
          <w:p w14:paraId="17F03A90">
            <w:pPr>
              <w:widowControl/>
              <w:spacing w:line="240" w:lineRule="exact"/>
              <w:jc w:val="center"/>
              <w:rPr>
                <w:rFonts w:ascii="宋体" w:hAnsi="宋体" w:eastAsia="宋体" w:cs="宋体"/>
                <w:kern w:val="0"/>
                <w:sz w:val="20"/>
                <w:szCs w:val="20"/>
              </w:rPr>
            </w:pPr>
          </w:p>
        </w:tc>
        <w:tc>
          <w:tcPr>
            <w:tcW w:w="1112" w:type="dxa"/>
            <w:gridSpan w:val="2"/>
            <w:vMerge w:val="continue"/>
            <w:tcBorders>
              <w:top w:val="nil"/>
              <w:left w:val="single" w:color="auto" w:sz="4" w:space="0"/>
              <w:bottom w:val="single" w:color="auto" w:sz="4" w:space="0"/>
              <w:right w:val="single" w:color="auto" w:sz="4" w:space="0"/>
            </w:tcBorders>
            <w:noWrap w:val="0"/>
            <w:vAlign w:val="center"/>
          </w:tcPr>
          <w:p w14:paraId="40BA41DD">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018CF2FB">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指标2：符合发放条件军人满意度</w:t>
            </w:r>
          </w:p>
        </w:tc>
        <w:tc>
          <w:tcPr>
            <w:tcW w:w="650" w:type="dxa"/>
            <w:tcBorders>
              <w:top w:val="nil"/>
              <w:left w:val="nil"/>
              <w:bottom w:val="single" w:color="auto" w:sz="4" w:space="0"/>
              <w:right w:val="single" w:color="auto" w:sz="4" w:space="0"/>
            </w:tcBorders>
            <w:noWrap w:val="0"/>
            <w:vAlign w:val="center"/>
          </w:tcPr>
          <w:p w14:paraId="7FC2D61E">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72796938">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w:t>
            </w:r>
            <w:r>
              <w:rPr>
                <w:rFonts w:hint="eastAsia" w:ascii="宋体" w:hAnsi="宋体" w:eastAsia="宋体" w:cs="宋体"/>
                <w:kern w:val="0"/>
                <w:sz w:val="20"/>
                <w:szCs w:val="20"/>
                <w:lang w:val="en-US" w:eastAsia="zh-CN"/>
              </w:rPr>
              <w:t>00%</w:t>
            </w:r>
          </w:p>
        </w:tc>
        <w:tc>
          <w:tcPr>
            <w:tcW w:w="567" w:type="dxa"/>
            <w:gridSpan w:val="2"/>
            <w:tcBorders>
              <w:top w:val="nil"/>
              <w:left w:val="nil"/>
              <w:bottom w:val="single" w:color="auto" w:sz="4" w:space="0"/>
              <w:right w:val="single" w:color="auto" w:sz="4" w:space="0"/>
            </w:tcBorders>
            <w:noWrap w:val="0"/>
            <w:vAlign w:val="center"/>
          </w:tcPr>
          <w:p w14:paraId="351199CD">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6E330944">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1AC1E2B3">
            <w:pPr>
              <w:widowControl/>
              <w:spacing w:line="240" w:lineRule="exact"/>
              <w:jc w:val="center"/>
              <w:rPr>
                <w:rFonts w:ascii="宋体" w:hAnsi="宋体" w:eastAsia="宋体" w:cs="宋体"/>
                <w:kern w:val="0"/>
                <w:sz w:val="20"/>
                <w:szCs w:val="20"/>
              </w:rPr>
            </w:pPr>
          </w:p>
        </w:tc>
      </w:tr>
      <w:tr w14:paraId="401BA990">
        <w:tblPrEx>
          <w:tblCellMar>
            <w:top w:w="0" w:type="dxa"/>
            <w:left w:w="108" w:type="dxa"/>
            <w:bottom w:w="0" w:type="dxa"/>
            <w:right w:w="108" w:type="dxa"/>
          </w:tblCellMar>
        </w:tblPrEx>
        <w:trPr>
          <w:trHeight w:val="300"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14:paraId="33901A07">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总分</w:t>
            </w:r>
          </w:p>
        </w:tc>
        <w:tc>
          <w:tcPr>
            <w:tcW w:w="567" w:type="dxa"/>
            <w:gridSpan w:val="2"/>
            <w:tcBorders>
              <w:top w:val="nil"/>
              <w:left w:val="nil"/>
              <w:bottom w:val="single" w:color="auto" w:sz="4" w:space="0"/>
              <w:right w:val="single" w:color="auto" w:sz="4" w:space="0"/>
            </w:tcBorders>
            <w:noWrap w:val="0"/>
            <w:vAlign w:val="center"/>
          </w:tcPr>
          <w:p w14:paraId="6F750DEC">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567" w:type="dxa"/>
            <w:gridSpan w:val="2"/>
            <w:tcBorders>
              <w:top w:val="nil"/>
              <w:left w:val="nil"/>
              <w:bottom w:val="single" w:color="auto" w:sz="4" w:space="0"/>
              <w:right w:val="single" w:color="auto" w:sz="4" w:space="0"/>
            </w:tcBorders>
            <w:noWrap w:val="0"/>
            <w:vAlign w:val="center"/>
          </w:tcPr>
          <w:p w14:paraId="42CE83FE">
            <w:pPr>
              <w:widowControl/>
              <w:spacing w:line="240" w:lineRule="exact"/>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2187BFC7">
            <w:pPr>
              <w:widowControl/>
              <w:spacing w:line="240" w:lineRule="exact"/>
              <w:jc w:val="center"/>
              <w:rPr>
                <w:rFonts w:ascii="宋体" w:hAnsi="宋体" w:eastAsia="宋体" w:cs="宋体"/>
                <w:kern w:val="0"/>
                <w:sz w:val="20"/>
                <w:szCs w:val="20"/>
              </w:rPr>
            </w:pPr>
          </w:p>
        </w:tc>
      </w:tr>
    </w:tbl>
    <w:p w14:paraId="4E07E52B">
      <w:pPr>
        <w:autoSpaceDE w:val="0"/>
        <w:autoSpaceDN w:val="0"/>
        <w:adjustRightInd w:val="0"/>
        <w:spacing w:line="360" w:lineRule="auto"/>
        <w:ind w:firstLine="640" w:firstLineChars="200"/>
        <w:jc w:val="left"/>
        <w:rPr>
          <w:rFonts w:hint="eastAsia" w:ascii="仿宋" w:hAnsi="仿宋" w:eastAsia="仿宋" w:cs="仿宋_GB2312"/>
          <w:kern w:val="0"/>
          <w:sz w:val="32"/>
          <w:szCs w:val="32"/>
          <w:lang w:eastAsia="zh-CN"/>
        </w:rPr>
      </w:pPr>
    </w:p>
    <w:p w14:paraId="117C311C">
      <w:pPr>
        <w:numPr>
          <w:ilvl w:val="0"/>
          <w:numId w:val="3"/>
        </w:numPr>
        <w:autoSpaceDE w:val="0"/>
        <w:autoSpaceDN w:val="0"/>
        <w:adjustRightInd w:val="0"/>
        <w:spacing w:line="360" w:lineRule="auto"/>
        <w:ind w:left="0" w:leftChars="0" w:firstLine="420" w:firstLineChars="0"/>
        <w:jc w:val="left"/>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部门评价项目绩效评价情况。</w:t>
      </w:r>
    </w:p>
    <w:p w14:paraId="7C88E294">
      <w:pPr>
        <w:numPr>
          <w:ilvl w:val="0"/>
          <w:numId w:val="0"/>
        </w:numPr>
        <w:autoSpaceDE w:val="0"/>
        <w:autoSpaceDN w:val="0"/>
        <w:adjustRightInd w:val="0"/>
        <w:spacing w:line="360" w:lineRule="auto"/>
        <w:ind w:firstLine="640" w:firstLineChars="200"/>
        <w:jc w:val="left"/>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本部门公开“随军家属安置经费”项目支出绩效评价报告（见附件）。</w:t>
      </w:r>
    </w:p>
    <w:p w14:paraId="6D6D695C">
      <w:pPr>
        <w:keepNext w:val="0"/>
        <w:keepLines w:val="0"/>
        <w:pageBreakBefore w:val="0"/>
        <w:widowControl/>
        <w:kinsoku/>
        <w:wordWrap/>
        <w:overflowPunct/>
        <w:topLinePunct w:val="0"/>
        <w:bidi w:val="0"/>
        <w:snapToGrid/>
        <w:spacing w:line="570" w:lineRule="exact"/>
        <w:jc w:val="center"/>
        <w:textAlignment w:val="auto"/>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rPr>
        <w:t>第四部分  名词解释</w:t>
      </w:r>
    </w:p>
    <w:p w14:paraId="6E2488C4">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一、收入科目</w:t>
      </w:r>
    </w:p>
    <w:p w14:paraId="6EA0AA8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（一）财政拨款：指市级财政当年拨付的资金。</w:t>
      </w:r>
    </w:p>
    <w:p w14:paraId="1F587B1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40" w:firstLineChars="200"/>
        <w:jc w:val="left"/>
        <w:textAlignment w:val="auto"/>
        <w:rPr>
          <w:rFonts w:hint="default" w:eastAsia="仿宋"/>
          <w:sz w:val="22"/>
          <w:szCs w:val="21"/>
          <w:lang w:val="en-US" w:eastAsia="zh-CN"/>
        </w:rPr>
      </w:pPr>
      <w:r>
        <w:rPr>
          <w:rFonts w:hint="eastAsia" w:ascii="仿宋" w:hAnsi="仿宋" w:eastAsia="仿宋"/>
          <w:kern w:val="0"/>
          <w:sz w:val="32"/>
          <w:szCs w:val="32"/>
          <w:lang w:val="en-US" w:eastAsia="zh-CN"/>
        </w:rPr>
        <w:t>（二）</w:t>
      </w:r>
      <w:r>
        <w:rPr>
          <w:rFonts w:hint="eastAsia" w:ascii="仿宋" w:hAnsi="仿宋" w:eastAsia="仿宋" w:cs="仿宋"/>
          <w:kern w:val="0"/>
          <w:sz w:val="32"/>
          <w:szCs w:val="32"/>
          <w:lang w:val="en-US" w:eastAsia="zh-CN" w:bidi="ar"/>
        </w:rPr>
        <w:t>其他收入：指除财政拨款、事业收入、事业单位经营收入等以外的各项收入。</w:t>
      </w:r>
    </w:p>
    <w:p w14:paraId="5EA8D253">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三</w:t>
      </w:r>
      <w:r>
        <w:rPr>
          <w:rFonts w:hint="eastAsia" w:ascii="仿宋" w:hAnsi="仿宋" w:eastAsia="仿宋"/>
          <w:kern w:val="0"/>
          <w:sz w:val="32"/>
          <w:szCs w:val="32"/>
        </w:rPr>
        <w:t>）上年结转和结余：填列</w:t>
      </w:r>
      <w:r>
        <w:rPr>
          <w:rFonts w:hint="eastAsia" w:ascii="仿宋" w:hAnsi="仿宋" w:eastAsia="仿宋"/>
          <w:kern w:val="0"/>
          <w:sz w:val="32"/>
          <w:szCs w:val="32"/>
          <w:lang w:eastAsia="zh-CN"/>
        </w:rPr>
        <w:t>2022</w:t>
      </w:r>
      <w:r>
        <w:rPr>
          <w:rFonts w:hint="eastAsia" w:ascii="仿宋" w:hAnsi="仿宋" w:eastAsia="仿宋"/>
          <w:kern w:val="0"/>
          <w:sz w:val="32"/>
          <w:szCs w:val="32"/>
        </w:rPr>
        <w:t>年全部结转和结余的资金数，包括当年结转结余资金和历年滚存结转结余资金。</w:t>
      </w:r>
    </w:p>
    <w:p w14:paraId="4B9AB7E8">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二、支出科目</w:t>
      </w:r>
    </w:p>
    <w:p w14:paraId="1D9C9988">
      <w:pPr>
        <w:pStyle w:val="9"/>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（一）基本支出：反映为保障机构正常运转、完成日常 工作任务而发生的人员支出和公用支出。 </w:t>
      </w:r>
    </w:p>
    <w:p w14:paraId="57652F1D">
      <w:pPr>
        <w:pStyle w:val="9"/>
        <w:ind w:firstLine="640" w:firstLineChars="200"/>
        <w:rPr>
          <w:rFonts w:hint="eastAsia" w:ascii="仿宋" w:hAnsi="仿宋" w:eastAsia="仿宋" w:cs="仿宋"/>
          <w:sz w:val="32"/>
          <w:szCs w:val="32"/>
        </w:rPr>
      </w:pPr>
      <w:r>
        <w:rPr>
          <w:rFonts w:hint="eastAsia" w:ascii="仿宋" w:hAnsi="仿宋" w:eastAsia="仿宋" w:cs="仿宋"/>
          <w:sz w:val="32"/>
          <w:szCs w:val="32"/>
        </w:rPr>
        <w:t>（二）项目支出：反映在基本支出之外为完成特定行政任务和事业发展目标所发生的支出。</w:t>
      </w:r>
    </w:p>
    <w:p w14:paraId="3EF869CF">
      <w:pPr>
        <w:keepNext w:val="0"/>
        <w:keepLines w:val="0"/>
        <w:pageBreakBefore w:val="0"/>
        <w:kinsoku/>
        <w:wordWrap/>
        <w:overflowPunct/>
        <w:topLinePunct w:val="0"/>
        <w:bidi w:val="0"/>
        <w:snapToGrid/>
        <w:spacing w:line="570" w:lineRule="exact"/>
        <w:ind w:firstLine="640" w:firstLineChars="200"/>
        <w:jc w:val="both"/>
        <w:textAlignment w:val="auto"/>
        <w:rPr>
          <w:rFonts w:hint="eastAsia" w:ascii="仿宋_GB2312" w:hAnsi="仿宋_GB2312" w:eastAsia="仿宋_GB2312"/>
          <w:color w:val="auto"/>
          <w:kern w:val="0"/>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w:t>
      </w:r>
      <w:r>
        <w:rPr>
          <w:rFonts w:hint="eastAsia" w:ascii="仿宋_GB2312" w:hAnsi="仿宋_GB2312" w:eastAsia="仿宋_GB2312"/>
          <w:color w:val="auto"/>
          <w:kern w:val="0"/>
          <w:sz w:val="32"/>
          <w:szCs w:val="32"/>
        </w:rPr>
        <w:t>“三公”经费支出</w:t>
      </w:r>
      <w:r>
        <w:rPr>
          <w:rFonts w:hint="eastAsia" w:ascii="仿宋_GB2312" w:hAnsi="仿宋_GB2312" w:eastAsia="仿宋_GB2312"/>
          <w:color w:val="auto"/>
          <w:kern w:val="0"/>
          <w:sz w:val="32"/>
          <w:szCs w:val="32"/>
          <w:lang w:eastAsia="zh-CN"/>
        </w:rPr>
        <w:t>：</w:t>
      </w:r>
      <w:r>
        <w:rPr>
          <w:rFonts w:hint="eastAsia" w:ascii="仿宋_GB2312" w:hAnsi="仿宋_GB2312" w:eastAsia="仿宋_GB2312"/>
          <w:color w:val="auto"/>
          <w:kern w:val="0"/>
          <w:sz w:val="32"/>
          <w:szCs w:val="32"/>
          <w:lang w:val="en-US" w:eastAsia="zh-CN"/>
        </w:rPr>
        <w:t>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43D74659">
      <w:pPr>
        <w:keepNext w:val="0"/>
        <w:keepLines w:val="0"/>
        <w:pageBreakBefore w:val="0"/>
        <w:kinsoku/>
        <w:wordWrap/>
        <w:overflowPunct/>
        <w:topLinePunct w:val="0"/>
        <w:bidi w:val="0"/>
        <w:snapToGrid/>
        <w:spacing w:line="570" w:lineRule="exact"/>
        <w:ind w:firstLine="640" w:firstLineChars="200"/>
        <w:jc w:val="both"/>
        <w:textAlignment w:val="auto"/>
        <w:rPr>
          <w:rFonts w:hint="eastAsia" w:ascii="仿宋_GB2312" w:hAnsi="仿宋_GB2312" w:eastAsia="仿宋_GB2312"/>
          <w:color w:val="auto"/>
          <w:kern w:val="0"/>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）机关运行经费：</w:t>
      </w:r>
      <w:r>
        <w:rPr>
          <w:rFonts w:hint="eastAsia" w:ascii="仿宋_GB2312" w:hAnsi="仿宋_GB2312" w:eastAsia="仿宋_GB2312"/>
          <w:color w:val="auto"/>
          <w:kern w:val="0"/>
          <w:sz w:val="32"/>
          <w:szCs w:val="32"/>
          <w:lang w:val="en-US" w:eastAsia="zh-CN"/>
        </w:rPr>
        <w:t>指用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88E4907">
      <w:pPr>
        <w:pStyle w:val="9"/>
        <w:ind w:firstLine="640" w:firstLineChars="200"/>
        <w:rPr>
          <w:rFonts w:hint="eastAsia" w:ascii="仿宋" w:hAnsi="仿宋" w:eastAsia="仿宋" w:cs="仿宋"/>
          <w:sz w:val="32"/>
          <w:szCs w:val="32"/>
        </w:rPr>
      </w:pPr>
    </w:p>
    <w:p w14:paraId="58B2E67C">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民政管理事务（款）其他民政管理事务支出（项）：反应民政部门接待来访、法制建设、政策宣传方面的支出以及开展优抚安置、救灾减灾、社会救助、社会福利、社会事务、信息化建设等方面的支出。</w:t>
      </w:r>
    </w:p>
    <w:p w14:paraId="77B0B56F">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）社会保障和就业支出（类）行政事业单位养老支出（款）行政单位离退休（项）：反映行政单位（包括实行公务员管理的事业单位）开支的离退休经费。</w:t>
      </w:r>
    </w:p>
    <w:p w14:paraId="6E04019D">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）社会保障和就业支出（类）行政事业单位养老支出（款）事业单位离退休（项）：反映事业单位开支的离退休经费。</w:t>
      </w:r>
    </w:p>
    <w:p w14:paraId="50FE54E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八</w:t>
      </w:r>
      <w:r>
        <w:rPr>
          <w:rFonts w:hint="eastAsia" w:ascii="仿宋" w:hAnsi="仿宋" w:eastAsia="仿宋"/>
          <w:kern w:val="0"/>
          <w:sz w:val="32"/>
          <w:szCs w:val="32"/>
        </w:rPr>
        <w:t>）社会保障和就业支出（类）行政事业单位养老支出（款）机关事业单位基本养老保险缴费支出（项）：反映机关事业单位实施养老保险制度由单位缴纳的基本养老保险费支出。</w:t>
      </w:r>
    </w:p>
    <w:p w14:paraId="4538C4F1">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九</w:t>
      </w:r>
      <w:r>
        <w:rPr>
          <w:rFonts w:hint="eastAsia" w:ascii="仿宋" w:hAnsi="仿宋" w:eastAsia="仿宋"/>
          <w:kern w:val="0"/>
          <w:sz w:val="32"/>
          <w:szCs w:val="32"/>
        </w:rPr>
        <w:t>）社会保障和就业支出（类）抚恤（款）其他优抚支出（项）：反映春节及八一走访慰问项目支出。</w:t>
      </w:r>
    </w:p>
    <w:p w14:paraId="45AFFA1B">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w:t>
      </w:r>
      <w:r>
        <w:rPr>
          <w:rFonts w:hint="eastAsia" w:ascii="仿宋" w:hAnsi="仿宋" w:eastAsia="仿宋"/>
          <w:kern w:val="0"/>
          <w:sz w:val="32"/>
          <w:szCs w:val="32"/>
        </w:rPr>
        <w:t>）社会保障和就业支出（类）退役安置（款） 退役士兵安置（项）：对符合条件的退役士兵、转业士官的安置支出。</w:t>
      </w:r>
    </w:p>
    <w:p w14:paraId="7A84C5E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十一</w:t>
      </w:r>
      <w:r>
        <w:rPr>
          <w:rFonts w:hint="eastAsia" w:ascii="仿宋" w:hAnsi="仿宋" w:eastAsia="仿宋"/>
          <w:kern w:val="0"/>
          <w:sz w:val="32"/>
          <w:szCs w:val="32"/>
        </w:rPr>
        <w:t>）社会保障和就业支出（类）退役安置（款） 军队移交政府离退休干部管理机构（项）：反应民政部门管理的军休所的人员经费、公用经费以及管理机构用法建设经费等支出。</w:t>
      </w:r>
    </w:p>
    <w:p w14:paraId="4EEEBB1E">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十二</w:t>
      </w:r>
      <w:r>
        <w:rPr>
          <w:rFonts w:hint="eastAsia" w:ascii="仿宋" w:hAnsi="仿宋" w:eastAsia="仿宋"/>
          <w:kern w:val="0"/>
          <w:sz w:val="32"/>
          <w:szCs w:val="32"/>
        </w:rPr>
        <w:t>）社会保障和就业支出（类）退役安置（款） 军队转业干部安置（项）：反映军转干部安置、人员经费、自主择业退役金等方面的支出。</w:t>
      </w:r>
    </w:p>
    <w:p w14:paraId="2E4D7332">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十三</w:t>
      </w:r>
      <w:r>
        <w:rPr>
          <w:rFonts w:hint="eastAsia" w:ascii="仿宋" w:hAnsi="仿宋" w:eastAsia="仿宋"/>
          <w:kern w:val="0"/>
          <w:sz w:val="32"/>
          <w:szCs w:val="32"/>
        </w:rPr>
        <w:t>）社会保障和就业支出（类）退役安置（款） 其他退役安置支出（项）：反映上述项目以外的用于退役安置方面的支出。</w:t>
      </w:r>
    </w:p>
    <w:p w14:paraId="65FC676D">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十四</w:t>
      </w:r>
      <w:r>
        <w:rPr>
          <w:rFonts w:hint="eastAsia" w:ascii="仿宋" w:hAnsi="仿宋" w:eastAsia="仿宋"/>
          <w:kern w:val="0"/>
          <w:sz w:val="32"/>
          <w:szCs w:val="32"/>
        </w:rPr>
        <w:t>）社会保障和就业支出（类）退役军人管理事务（款） 行政运行（项）：反映行政单位的基本支出。</w:t>
      </w:r>
    </w:p>
    <w:p w14:paraId="4C7189DA">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）社会保障和就业支出（类）退役军人管理事务（款） 拥军优属（项）：反映拥军优属活动的支出。</w:t>
      </w:r>
    </w:p>
    <w:p w14:paraId="71EAC2C3">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）社会保障和就业支出（类）退役军人管理事务（款） 部队供应（项）：反映军供站等用于保障军队运输和饮食供应的支出。</w:t>
      </w:r>
    </w:p>
    <w:p w14:paraId="657AA3B8">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）社会保障和就业支出（类）退役军人管理事务（款） 其他退役军人事务管理支出（项）：反映除上述项目以外的其他用于退役军人事务管理方面的支出。</w:t>
      </w:r>
    </w:p>
    <w:p w14:paraId="2653C4CC">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八</w:t>
      </w:r>
      <w:r>
        <w:rPr>
          <w:rFonts w:hint="eastAsia" w:ascii="仿宋" w:hAnsi="仿宋" w:eastAsia="仿宋"/>
          <w:kern w:val="0"/>
          <w:sz w:val="32"/>
          <w:szCs w:val="32"/>
        </w:rPr>
        <w:t>）社会保障和就业支出（类）其他社会保障和就业支出（款）其他社会保障和就业支出（项）：反映其他用于其他社会保障和就业支出方面的支出。</w:t>
      </w:r>
    </w:p>
    <w:p w14:paraId="6D44E3F0">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九</w:t>
      </w:r>
      <w:r>
        <w:rPr>
          <w:rFonts w:hint="eastAsia" w:ascii="仿宋" w:hAnsi="仿宋" w:eastAsia="仿宋"/>
          <w:kern w:val="0"/>
          <w:sz w:val="32"/>
          <w:szCs w:val="32"/>
        </w:rPr>
        <w:t>）卫生健康支出（类）行政事业单位医疗（款）行政单位医疗（项）：反映财政部门安排的行政单位（包括实行公务员管理的事业单位）基本医疗保险缴费经费。</w:t>
      </w:r>
    </w:p>
    <w:p w14:paraId="0DE095C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w:t>
      </w:r>
      <w:r>
        <w:rPr>
          <w:rFonts w:hint="eastAsia" w:ascii="仿宋" w:hAnsi="仿宋" w:eastAsia="仿宋"/>
          <w:kern w:val="0"/>
          <w:sz w:val="32"/>
          <w:szCs w:val="32"/>
        </w:rPr>
        <w:t>）卫生健康支出（类）行政事业单位医疗（款）事业单位医疗（项）：反映财政部门安排的事业单位基本医疗保险缴费经费。</w:t>
      </w:r>
    </w:p>
    <w:p w14:paraId="4D01AD62">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二十一</w:t>
      </w:r>
      <w:r>
        <w:rPr>
          <w:rFonts w:hint="eastAsia" w:ascii="仿宋" w:hAnsi="仿宋" w:eastAsia="仿宋"/>
          <w:kern w:val="0"/>
          <w:sz w:val="32"/>
          <w:szCs w:val="32"/>
        </w:rPr>
        <w:t>）卫生健康支出（类）行政事业单位医疗（款）公务员医疗补助（项）：反映财政部门安排的公务员医疗补助经费。</w:t>
      </w:r>
    </w:p>
    <w:p w14:paraId="23A9FFAC">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二十二</w:t>
      </w:r>
      <w:r>
        <w:rPr>
          <w:rFonts w:hint="eastAsia" w:ascii="仿宋" w:hAnsi="仿宋" w:eastAsia="仿宋"/>
          <w:kern w:val="0"/>
          <w:sz w:val="32"/>
          <w:szCs w:val="32"/>
        </w:rPr>
        <w:t>）卫生健康支出（类）行政事业单位医疗（款）其他行政事业单位医疗支出（项）：反映除上述项目以外的其他用于行政事业单位医疗方面的支出。</w:t>
      </w:r>
    </w:p>
    <w:p w14:paraId="166FE85E">
      <w:pPr>
        <w:ind w:firstLine="640" w:firstLineChars="200"/>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二十三</w:t>
      </w:r>
      <w:r>
        <w:rPr>
          <w:rFonts w:hint="eastAsia" w:ascii="仿宋" w:hAnsi="仿宋" w:eastAsia="仿宋"/>
          <w:kern w:val="0"/>
          <w:sz w:val="32"/>
          <w:szCs w:val="32"/>
        </w:rPr>
        <w:t xml:space="preserve">）住房保障支出（类） 住房改革支出（款）住房公积金（项）：住房公积金的支出。 </w:t>
      </w:r>
    </w:p>
    <w:p w14:paraId="2442A9A1">
      <w:pPr>
        <w:keepNext w:val="0"/>
        <w:keepLines w:val="0"/>
        <w:pageBreakBefore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rPr>
      </w:pPr>
    </w:p>
    <w:p w14:paraId="3A5030EE">
      <w:pPr>
        <w:keepNext w:val="0"/>
        <w:keepLines w:val="0"/>
        <w:pageBreakBefore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rPr>
      </w:pPr>
    </w:p>
    <w:p w14:paraId="5703AE56">
      <w:pPr>
        <w:keepNext w:val="0"/>
        <w:keepLines w:val="0"/>
        <w:pageBreakBefore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rPr>
      </w:pPr>
    </w:p>
    <w:p w14:paraId="314AB7F8">
      <w:pPr>
        <w:keepNext w:val="0"/>
        <w:keepLines w:val="0"/>
        <w:pageBreakBefore w:val="0"/>
        <w:kinsoku/>
        <w:wordWrap/>
        <w:overflowPunct/>
        <w:topLinePunct w:val="0"/>
        <w:bidi w:val="0"/>
        <w:snapToGrid/>
        <w:spacing w:line="600" w:lineRule="exact"/>
        <w:jc w:val="center"/>
        <w:textAlignment w:val="auto"/>
        <w:rPr>
          <w:rFonts w:hint="eastAsia" w:ascii="黑体" w:hAnsi="黑体" w:eastAsia="黑体" w:cs="黑体"/>
          <w:b w:val="0"/>
          <w:bCs w:val="0"/>
          <w:color w:val="auto"/>
          <w:sz w:val="44"/>
          <w:szCs w:val="44"/>
          <w:lang w:val="en-US" w:eastAsia="zh-CN"/>
        </w:rPr>
      </w:pPr>
      <w:r>
        <w:rPr>
          <w:rFonts w:hint="eastAsia" w:ascii="黑体" w:hAnsi="黑体" w:eastAsia="黑体" w:cs="黑体"/>
          <w:b w:val="0"/>
          <w:bCs w:val="0"/>
          <w:color w:val="auto"/>
          <w:sz w:val="44"/>
          <w:szCs w:val="44"/>
        </w:rPr>
        <w:t>第</w:t>
      </w:r>
      <w:r>
        <w:rPr>
          <w:rFonts w:hint="eastAsia" w:ascii="黑体" w:hAnsi="黑体" w:eastAsia="黑体" w:cs="黑体"/>
          <w:b w:val="0"/>
          <w:bCs w:val="0"/>
          <w:color w:val="auto"/>
          <w:sz w:val="44"/>
          <w:szCs w:val="44"/>
          <w:lang w:val="en-US" w:eastAsia="zh-CN"/>
        </w:rPr>
        <w:t>五</w:t>
      </w:r>
      <w:r>
        <w:rPr>
          <w:rFonts w:hint="eastAsia" w:ascii="黑体" w:hAnsi="黑体" w:eastAsia="黑体" w:cs="黑体"/>
          <w:b w:val="0"/>
          <w:bCs w:val="0"/>
          <w:color w:val="auto"/>
          <w:sz w:val="44"/>
          <w:szCs w:val="44"/>
        </w:rPr>
        <w:t>部分</w:t>
      </w:r>
      <w:r>
        <w:rPr>
          <w:rFonts w:hint="eastAsia" w:ascii="黑体" w:hAnsi="黑体" w:eastAsia="黑体" w:cs="黑体"/>
          <w:b w:val="0"/>
          <w:bCs w:val="0"/>
          <w:color w:val="auto"/>
          <w:sz w:val="44"/>
          <w:szCs w:val="44"/>
          <w:lang w:val="en-US" w:eastAsia="zh-CN"/>
        </w:rPr>
        <w:t xml:space="preserve">  附    件</w:t>
      </w:r>
    </w:p>
    <w:p w14:paraId="1C60BB3D">
      <w:pPr>
        <w:autoSpaceDE w:val="0"/>
        <w:autoSpaceDN w:val="0"/>
        <w:adjustRightInd w:val="0"/>
        <w:spacing w:line="360" w:lineRule="auto"/>
        <w:jc w:val="left"/>
        <w:rPr>
          <w:rFonts w:hint="eastAsia" w:ascii="仿宋" w:hAnsi="仿宋" w:eastAsia="仿宋" w:cs="仿宋_GB2312"/>
          <w:b w:val="0"/>
          <w:bCs w:val="0"/>
          <w:kern w:val="0"/>
          <w:sz w:val="32"/>
          <w:szCs w:val="32"/>
          <w:lang w:val="en-US" w:eastAsia="zh-CN"/>
        </w:rPr>
      </w:pPr>
      <w:r>
        <w:rPr>
          <w:rFonts w:hint="eastAsia" w:ascii="仿宋" w:hAnsi="仿宋" w:eastAsia="仿宋" w:cs="仿宋_GB2312"/>
          <w:b w:val="0"/>
          <w:bCs w:val="0"/>
          <w:kern w:val="0"/>
          <w:sz w:val="32"/>
          <w:szCs w:val="32"/>
          <w:lang w:val="en-US" w:eastAsia="zh-CN"/>
        </w:rPr>
        <w:t>附件：</w:t>
      </w:r>
    </w:p>
    <w:p w14:paraId="13F0C469">
      <w:pPr>
        <w:autoSpaceDE w:val="0"/>
        <w:autoSpaceDN w:val="0"/>
        <w:adjustRightInd w:val="0"/>
        <w:spacing w:line="360" w:lineRule="auto"/>
        <w:ind w:firstLine="600"/>
        <w:jc w:val="center"/>
        <w:rPr>
          <w:rFonts w:hint="eastAsia" w:ascii="仿宋" w:hAnsi="仿宋" w:eastAsia="仿宋" w:cs="仿宋_GB2312"/>
          <w:b/>
          <w:bCs/>
          <w:kern w:val="0"/>
          <w:sz w:val="32"/>
          <w:szCs w:val="32"/>
          <w:lang w:val="en-US" w:eastAsia="zh-CN"/>
        </w:rPr>
      </w:pPr>
    </w:p>
    <w:p w14:paraId="193B5F56">
      <w:pPr>
        <w:autoSpaceDE w:val="0"/>
        <w:autoSpaceDN w:val="0"/>
        <w:adjustRightInd w:val="0"/>
        <w:spacing w:line="360" w:lineRule="auto"/>
        <w:ind w:firstLine="600"/>
        <w:jc w:val="center"/>
        <w:rPr>
          <w:rFonts w:hint="eastAsia" w:ascii="仿宋" w:hAnsi="仿宋" w:eastAsia="仿宋" w:cs="仿宋_GB2312"/>
          <w:b/>
          <w:bCs/>
          <w:kern w:val="0"/>
          <w:sz w:val="32"/>
          <w:szCs w:val="32"/>
          <w:lang w:val="en-US" w:eastAsia="zh-CN"/>
        </w:rPr>
      </w:pPr>
      <w:r>
        <w:rPr>
          <w:rFonts w:hint="eastAsia" w:ascii="仿宋" w:hAnsi="仿宋" w:eastAsia="仿宋" w:cs="仿宋_GB2312"/>
          <w:b/>
          <w:bCs/>
          <w:kern w:val="0"/>
          <w:sz w:val="32"/>
          <w:szCs w:val="32"/>
          <w:lang w:val="en-US" w:eastAsia="zh-CN"/>
        </w:rPr>
        <w:t>随军家属安置经费项目支出绩效评价报告</w:t>
      </w:r>
    </w:p>
    <w:p w14:paraId="4505A74F">
      <w:pPr>
        <w:pStyle w:val="9"/>
        <w:rPr>
          <w:rFonts w:hint="eastAsia"/>
          <w:sz w:val="22"/>
          <w:szCs w:val="22"/>
          <w:lang w:val="en-US" w:eastAsia="zh-CN"/>
        </w:rPr>
      </w:pPr>
    </w:p>
    <w:p w14:paraId="7A1DD720">
      <w:pPr>
        <w:pStyle w:val="9"/>
        <w:numPr>
          <w:ilvl w:val="0"/>
          <w:numId w:val="4"/>
        </w:numPr>
        <w:ind w:firstLine="643" w:firstLineChars="200"/>
        <w:jc w:val="both"/>
        <w:rPr>
          <w:rFonts w:hint="eastAsia" w:ascii="仿宋" w:hAnsi="仿宋" w:eastAsia="仿宋" w:cs="仿宋_GB2312"/>
          <w:b/>
          <w:bCs/>
          <w:kern w:val="0"/>
          <w:sz w:val="32"/>
          <w:szCs w:val="32"/>
          <w:lang w:val="en-US" w:eastAsia="zh-CN"/>
        </w:rPr>
      </w:pPr>
      <w:r>
        <w:rPr>
          <w:rFonts w:hint="eastAsia" w:ascii="仿宋" w:hAnsi="仿宋" w:eastAsia="仿宋" w:cs="仿宋_GB2312"/>
          <w:b/>
          <w:bCs/>
          <w:kern w:val="0"/>
          <w:sz w:val="32"/>
          <w:szCs w:val="32"/>
          <w:lang w:val="en-US" w:eastAsia="zh-CN"/>
        </w:rPr>
        <w:t>项目基本情况</w:t>
      </w:r>
    </w:p>
    <w:p w14:paraId="2629B5F5">
      <w:pPr>
        <w:numPr>
          <w:ilvl w:val="0"/>
          <w:numId w:val="5"/>
        </w:numPr>
        <w:ind w:firstLine="576" w:firstLineChars="180"/>
        <w:jc w:val="both"/>
        <w:rPr>
          <w:rFonts w:hint="default"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项目背景</w:t>
      </w:r>
    </w:p>
    <w:p w14:paraId="21511F73">
      <w:pPr>
        <w:numPr>
          <w:ilvl w:val="0"/>
          <w:numId w:val="0"/>
        </w:numPr>
        <w:ind w:firstLine="640" w:firstLineChars="200"/>
        <w:jc w:val="both"/>
        <w:rPr>
          <w:rFonts w:hint="eastAsia" w:ascii="仿宋_GB2312" w:hAnsi="仿宋" w:eastAsia="仿宋_GB2312"/>
          <w:sz w:val="32"/>
          <w:szCs w:val="32"/>
        </w:rPr>
      </w:pPr>
      <w:r>
        <w:rPr>
          <w:rFonts w:hint="eastAsia" w:ascii="仿宋_GB2312" w:hAnsi="仿宋" w:eastAsia="仿宋_GB2312"/>
          <w:sz w:val="32"/>
          <w:szCs w:val="32"/>
        </w:rPr>
        <w:t>该项目依据景德镇市人民政府、景德镇军分区《关于进一步做好驻市部队随军家属就业安置工作的实施意见》（景府办发[2014]15号）的规定：按全是上年度城镇非私营单位在岗职工平均工资的12%标准发放。</w:t>
      </w:r>
    </w:p>
    <w:p w14:paraId="25BC21C0">
      <w:pPr>
        <w:numPr>
          <w:ilvl w:val="0"/>
          <w:numId w:val="5"/>
        </w:numPr>
        <w:ind w:left="0" w:leftChars="0" w:firstLine="576" w:firstLineChars="180"/>
        <w:jc w:val="both"/>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项目目标</w:t>
      </w:r>
    </w:p>
    <w:p w14:paraId="659CABE6">
      <w:pPr>
        <w:numPr>
          <w:ilvl w:val="0"/>
          <w:numId w:val="0"/>
        </w:numPr>
        <w:ind w:firstLine="640" w:firstLineChars="200"/>
        <w:jc w:val="both"/>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根据前期军分区政治工作处、市双拥办、人社局三家审定的驻市部队随军家属未就业符合条件有83人，按标准折合每人每月720元，全年发放68万元。</w:t>
      </w:r>
    </w:p>
    <w:p w14:paraId="080C6C06">
      <w:pPr>
        <w:pStyle w:val="9"/>
        <w:numPr>
          <w:ilvl w:val="0"/>
          <w:numId w:val="5"/>
        </w:numPr>
        <w:ind w:left="0" w:leftChars="0" w:firstLine="576" w:firstLineChars="18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支出情况</w:t>
      </w:r>
    </w:p>
    <w:p w14:paraId="677FE754">
      <w:pPr>
        <w:pStyle w:val="9"/>
        <w:numPr>
          <w:ilvl w:val="0"/>
          <w:numId w:val="0"/>
        </w:numPr>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2022年度本项目资金纳入年初部门预算，全年预算数为68万元，全年执行数为68万元，执行率100%。</w:t>
      </w:r>
    </w:p>
    <w:p w14:paraId="1F526414">
      <w:pPr>
        <w:pStyle w:val="9"/>
        <w:numPr>
          <w:ilvl w:val="0"/>
          <w:numId w:val="4"/>
        </w:numPr>
        <w:ind w:firstLine="643" w:firstLineChars="200"/>
        <w:jc w:val="both"/>
        <w:rPr>
          <w:rFonts w:hint="eastAsia" w:ascii="仿宋" w:hAnsi="仿宋" w:eastAsia="仿宋" w:cs="仿宋_GB2312"/>
          <w:b/>
          <w:bCs/>
          <w:kern w:val="0"/>
          <w:sz w:val="32"/>
          <w:szCs w:val="32"/>
          <w:lang w:val="en-US" w:eastAsia="zh-CN"/>
        </w:rPr>
      </w:pPr>
      <w:r>
        <w:rPr>
          <w:rFonts w:hint="eastAsia" w:ascii="仿宋" w:hAnsi="仿宋" w:eastAsia="仿宋" w:cs="仿宋_GB2312"/>
          <w:b/>
          <w:bCs/>
          <w:kern w:val="0"/>
          <w:sz w:val="32"/>
          <w:szCs w:val="32"/>
          <w:lang w:val="en-US" w:eastAsia="zh-CN"/>
        </w:rPr>
        <w:t>绩效评价工作开展情况</w:t>
      </w:r>
    </w:p>
    <w:p w14:paraId="47A870D8">
      <w:pPr>
        <w:pStyle w:val="9"/>
        <w:numPr>
          <w:ilvl w:val="0"/>
          <w:numId w:val="6"/>
        </w:numPr>
        <w:ind w:firstLine="640" w:firstLineChars="200"/>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评价范围和目的。本次绩效评价的对象为2022年度随军家属安置经费项目实施情况，主要从项目执行率、项目产出、项目效益、项目满意度四个方面对项目资金投入与使用、绩效目标设定、预算管理、绩效目标的实现程度及效益等情况进行评价。通过绩效评价，帮助项目单位加强项目支出管理，进一步提高财政资金使用效益，同时为以后年度预算资金分配提供参考。</w:t>
      </w:r>
    </w:p>
    <w:p w14:paraId="01BE00B2">
      <w:pPr>
        <w:numPr>
          <w:ilvl w:val="0"/>
          <w:numId w:val="6"/>
        </w:numPr>
        <w:ind w:left="0" w:leftChars="0" w:firstLine="640" w:firstLineChars="200"/>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评价指标体系。本次评价指标体系包括全年执行率、产出、效益、满意度4个一级指标，下设5个二级指标和6个三级指标，绩效评价总分值为100分。其中：全年执行率指标10分，对资金到位率、预算执行率进行评价分析；产出指标60分，主要从产出数量、产出质量、资金使用合规性进行评价分析；效益指标10分，主要从社会效益进行分析；满意度指标20分，主要从服务对象满意度方面进项评价分析。</w:t>
      </w:r>
    </w:p>
    <w:p w14:paraId="67F8A12B">
      <w:pPr>
        <w:numPr>
          <w:ilvl w:val="0"/>
          <w:numId w:val="6"/>
        </w:numPr>
        <w:ind w:left="0" w:leftChars="0" w:firstLine="640" w:firstLineChars="200"/>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评价结论。根据财政提供的项目支出绩效评价指 标体系框架，结合工作实际对 2022年度“随军家属安置经费”项 目绩效打分评价,自评分100分。2022年度“随军家属安置经费”项目立项依据充分，项目管理规范，执行情况良好，完成较好。但项目还存在绩效指标设置有待于进一步完善的问题。</w:t>
      </w:r>
    </w:p>
    <w:p w14:paraId="3A2F0BAC">
      <w:pPr>
        <w:numPr>
          <w:ilvl w:val="0"/>
          <w:numId w:val="4"/>
        </w:numPr>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绩效评价指标分析 </w:t>
      </w:r>
    </w:p>
    <w:p w14:paraId="3BB0F374">
      <w:pPr>
        <w:numPr>
          <w:ilvl w:val="0"/>
          <w:numId w:val="7"/>
        </w:numPr>
        <w:ind w:firstLine="640" w:firstLineChars="200"/>
        <w:rPr>
          <w:rFonts w:hint="eastAsia" w:ascii="仿宋" w:hAnsi="仿宋" w:eastAsia="仿宋" w:cs="仿宋"/>
          <w:sz w:val="32"/>
          <w:szCs w:val="32"/>
        </w:rPr>
      </w:pPr>
      <w:r>
        <w:rPr>
          <w:rFonts w:hint="eastAsia" w:ascii="仿宋" w:hAnsi="仿宋" w:eastAsia="仿宋" w:cs="仿宋"/>
          <w:sz w:val="32"/>
          <w:szCs w:val="32"/>
        </w:rPr>
        <w:t>全年执行率指标分析。该指标分值</w:t>
      </w:r>
      <w:r>
        <w:rPr>
          <w:rFonts w:hint="eastAsia" w:ascii="仿宋" w:hAnsi="仿宋" w:eastAsia="仿宋" w:cs="仿宋"/>
          <w:sz w:val="32"/>
          <w:szCs w:val="32"/>
          <w:lang w:val="en-US" w:eastAsia="zh-CN"/>
        </w:rPr>
        <w:t>10</w:t>
      </w:r>
      <w:r>
        <w:rPr>
          <w:rFonts w:hint="eastAsia" w:ascii="仿宋" w:hAnsi="仿宋" w:eastAsia="仿宋" w:cs="仿宋"/>
          <w:sz w:val="32"/>
          <w:szCs w:val="32"/>
        </w:rPr>
        <w:t>分，得分</w:t>
      </w:r>
      <w:r>
        <w:rPr>
          <w:rFonts w:hint="eastAsia" w:ascii="仿宋" w:hAnsi="仿宋" w:eastAsia="仿宋" w:cs="仿宋"/>
          <w:sz w:val="32"/>
          <w:szCs w:val="32"/>
          <w:lang w:val="en-US" w:eastAsia="zh-CN"/>
        </w:rPr>
        <w:t>10</w:t>
      </w:r>
      <w:r>
        <w:rPr>
          <w:rFonts w:hint="eastAsia" w:ascii="仿宋" w:hAnsi="仿宋" w:eastAsia="仿宋" w:cs="仿宋"/>
          <w:sz w:val="32"/>
          <w:szCs w:val="32"/>
        </w:rPr>
        <w:t>分。</w:t>
      </w:r>
      <w:r>
        <w:rPr>
          <w:rFonts w:hint="eastAsia" w:ascii="仿宋" w:hAnsi="仿宋" w:eastAsia="仿宋" w:cs="仿宋"/>
          <w:sz w:val="32"/>
          <w:szCs w:val="32"/>
          <w:lang w:eastAsia="zh-CN"/>
        </w:rPr>
        <w:t>2022</w:t>
      </w:r>
      <w:r>
        <w:rPr>
          <w:rFonts w:hint="eastAsia" w:ascii="仿宋" w:hAnsi="仿宋" w:eastAsia="仿宋" w:cs="仿宋"/>
          <w:sz w:val="32"/>
          <w:szCs w:val="32"/>
        </w:rPr>
        <w:t>年度本项目资金纳入年初部门预算，全年预算数为</w:t>
      </w:r>
      <w:r>
        <w:rPr>
          <w:rFonts w:hint="eastAsia" w:ascii="仿宋" w:hAnsi="仿宋" w:eastAsia="仿宋" w:cs="仿宋"/>
          <w:sz w:val="32"/>
          <w:szCs w:val="32"/>
          <w:lang w:val="en-US" w:eastAsia="zh-CN"/>
        </w:rPr>
        <w:t>68</w:t>
      </w:r>
      <w:r>
        <w:rPr>
          <w:rFonts w:hint="eastAsia" w:ascii="仿宋" w:hAnsi="仿宋" w:eastAsia="仿宋" w:cs="仿宋"/>
          <w:sz w:val="32"/>
          <w:szCs w:val="32"/>
        </w:rPr>
        <w:t>万元，全年执行数为</w:t>
      </w:r>
      <w:r>
        <w:rPr>
          <w:rFonts w:hint="eastAsia" w:ascii="仿宋" w:hAnsi="仿宋" w:eastAsia="仿宋" w:cs="仿宋"/>
          <w:sz w:val="32"/>
          <w:szCs w:val="32"/>
          <w:lang w:val="en-US" w:eastAsia="zh-CN"/>
        </w:rPr>
        <w:t>68</w:t>
      </w:r>
      <w:r>
        <w:rPr>
          <w:rFonts w:hint="eastAsia" w:ascii="仿宋" w:hAnsi="仿宋" w:eastAsia="仿宋" w:cs="仿宋"/>
          <w:sz w:val="32"/>
          <w:szCs w:val="32"/>
        </w:rPr>
        <w:t xml:space="preserve">万元，执行率 </w:t>
      </w:r>
      <w:r>
        <w:rPr>
          <w:rFonts w:hint="eastAsia" w:ascii="仿宋" w:hAnsi="仿宋" w:eastAsia="仿宋" w:cs="仿宋"/>
          <w:sz w:val="32"/>
          <w:szCs w:val="32"/>
          <w:lang w:val="en-US" w:eastAsia="zh-CN"/>
        </w:rPr>
        <w:t>100</w:t>
      </w:r>
      <w:r>
        <w:rPr>
          <w:rFonts w:hint="eastAsia" w:ascii="仿宋" w:hAnsi="仿宋" w:eastAsia="仿宋" w:cs="仿宋"/>
          <w:sz w:val="32"/>
          <w:szCs w:val="32"/>
        </w:rPr>
        <w:t xml:space="preserve">%，预算执行率良好。 </w:t>
      </w:r>
    </w:p>
    <w:p w14:paraId="14B755AD">
      <w:pPr>
        <w:numPr>
          <w:ilvl w:val="0"/>
          <w:numId w:val="7"/>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产出指标分析。该指标分值</w:t>
      </w:r>
      <w:r>
        <w:rPr>
          <w:rFonts w:hint="eastAsia" w:ascii="仿宋" w:hAnsi="仿宋" w:eastAsia="仿宋" w:cs="仿宋"/>
          <w:sz w:val="32"/>
          <w:szCs w:val="32"/>
          <w:lang w:val="en-US" w:eastAsia="zh-CN"/>
        </w:rPr>
        <w:t>60</w:t>
      </w:r>
      <w:r>
        <w:rPr>
          <w:rFonts w:hint="eastAsia" w:ascii="仿宋" w:hAnsi="仿宋" w:eastAsia="仿宋" w:cs="仿宋"/>
          <w:sz w:val="32"/>
          <w:szCs w:val="32"/>
        </w:rPr>
        <w:t>分，得分</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完成符合条件83人足额并及时发放随军家属安置经费。</w:t>
      </w:r>
    </w:p>
    <w:p w14:paraId="0A0EE490">
      <w:pPr>
        <w:numPr>
          <w:ilvl w:val="0"/>
          <w:numId w:val="7"/>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效益指标分析。该指标分值10分，得分10分。</w:t>
      </w:r>
    </w:p>
    <w:p w14:paraId="121359EC">
      <w:pPr>
        <w:numPr>
          <w:ilvl w:val="0"/>
          <w:numId w:val="7"/>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满意度指标分析。该指标分值</w:t>
      </w:r>
      <w:r>
        <w:rPr>
          <w:rFonts w:hint="eastAsia" w:ascii="仿宋" w:hAnsi="仿宋" w:eastAsia="仿宋" w:cs="仿宋"/>
          <w:sz w:val="32"/>
          <w:szCs w:val="32"/>
          <w:lang w:val="en-US" w:eastAsia="zh-CN"/>
        </w:rPr>
        <w:t>20</w:t>
      </w:r>
      <w:r>
        <w:rPr>
          <w:rFonts w:hint="eastAsia" w:ascii="仿宋" w:hAnsi="仿宋" w:eastAsia="仿宋" w:cs="仿宋"/>
          <w:sz w:val="32"/>
          <w:szCs w:val="32"/>
        </w:rPr>
        <w:t>分，得分</w:t>
      </w:r>
      <w:r>
        <w:rPr>
          <w:rFonts w:hint="eastAsia" w:ascii="仿宋" w:hAnsi="仿宋" w:eastAsia="仿宋" w:cs="仿宋"/>
          <w:sz w:val="32"/>
          <w:szCs w:val="32"/>
          <w:lang w:val="en-US" w:eastAsia="zh-CN"/>
        </w:rPr>
        <w:t>20</w:t>
      </w:r>
      <w:r>
        <w:rPr>
          <w:rFonts w:hint="eastAsia" w:ascii="仿宋" w:hAnsi="仿宋" w:eastAsia="仿宋" w:cs="仿宋"/>
          <w:sz w:val="32"/>
          <w:szCs w:val="32"/>
        </w:rPr>
        <w:t>分。</w:t>
      </w:r>
      <w:r>
        <w:rPr>
          <w:rFonts w:hint="eastAsia" w:ascii="仿宋" w:hAnsi="仿宋" w:eastAsia="仿宋" w:cs="仿宋"/>
          <w:sz w:val="32"/>
          <w:szCs w:val="32"/>
          <w:lang w:val="en-US" w:eastAsia="zh-CN"/>
        </w:rPr>
        <w:t>符合发放条件军人及军属</w:t>
      </w:r>
      <w:r>
        <w:rPr>
          <w:rFonts w:hint="eastAsia" w:ascii="仿宋" w:hAnsi="仿宋" w:eastAsia="仿宋" w:cs="仿宋"/>
          <w:sz w:val="32"/>
          <w:szCs w:val="32"/>
        </w:rPr>
        <w:t>满意度较高。</w:t>
      </w:r>
    </w:p>
    <w:p w14:paraId="73653C8C">
      <w:pPr>
        <w:pStyle w:val="9"/>
        <w:numPr>
          <w:ilvl w:val="0"/>
          <w:numId w:val="4"/>
        </w:numPr>
        <w:ind w:left="0" w:leftChars="0"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其他需要说明的问题</w:t>
      </w:r>
    </w:p>
    <w:p w14:paraId="53F13F0F">
      <w:pPr>
        <w:pStyle w:val="9"/>
        <w:numPr>
          <w:ilvl w:val="0"/>
          <w:numId w:val="0"/>
        </w:numPr>
        <w:ind w:leftChars="200" w:firstLine="320" w:firstLineChars="100"/>
        <w:rPr>
          <w:rFonts w:hint="eastAsia" w:ascii="宋体" w:hAnsi="宋体"/>
          <w:b/>
          <w:sz w:val="36"/>
          <w:szCs w:val="36"/>
        </w:rPr>
      </w:pPr>
      <w:r>
        <w:rPr>
          <w:rFonts w:hint="eastAsia" w:ascii="仿宋" w:hAnsi="仿宋" w:eastAsia="仿宋" w:cs="仿宋"/>
          <w:sz w:val="32"/>
          <w:szCs w:val="32"/>
          <w:lang w:val="en-US" w:eastAsia="zh-CN"/>
        </w:rPr>
        <w:t>无</w:t>
      </w:r>
    </w:p>
    <w:p w14:paraId="4839EB0D">
      <w:pPr>
        <w:pStyle w:val="9"/>
        <w:rPr>
          <w:rFonts w:hint="eastAsia" w:ascii="仿宋" w:hAnsi="仿宋" w:eastAsia="仿宋"/>
          <w:kern w:val="0"/>
          <w:sz w:val="30"/>
          <w:szCs w:val="30"/>
        </w:rPr>
      </w:pPr>
    </w:p>
    <w:p w14:paraId="043F2C49">
      <w:pPr>
        <w:pStyle w:val="9"/>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96A5B"/>
    <w:multiLevelType w:val="singleLevel"/>
    <w:tmpl w:val="E2696A5B"/>
    <w:lvl w:ilvl="0" w:tentative="0">
      <w:start w:val="1"/>
      <w:numFmt w:val="chineseCounting"/>
      <w:suff w:val="nothing"/>
      <w:lvlText w:val="（%1）"/>
      <w:lvlJc w:val="left"/>
      <w:rPr>
        <w:rFonts w:hint="eastAsia"/>
      </w:rPr>
    </w:lvl>
  </w:abstractNum>
  <w:abstractNum w:abstractNumId="1">
    <w:nsid w:val="0000000A"/>
    <w:multiLevelType w:val="singleLevel"/>
    <w:tmpl w:val="0000000A"/>
    <w:lvl w:ilvl="0" w:tentative="0">
      <w:start w:val="1"/>
      <w:numFmt w:val="chineseCounting"/>
      <w:suff w:val="nothing"/>
      <w:lvlText w:val="%1、"/>
      <w:lvlJc w:val="left"/>
    </w:lvl>
  </w:abstractNum>
  <w:abstractNum w:abstractNumId="2">
    <w:nsid w:val="05823A54"/>
    <w:multiLevelType w:val="singleLevel"/>
    <w:tmpl w:val="05823A54"/>
    <w:lvl w:ilvl="0" w:tentative="0">
      <w:start w:val="1"/>
      <w:numFmt w:val="chineseCounting"/>
      <w:suff w:val="nothing"/>
      <w:lvlText w:val="（%1）"/>
      <w:lvlJc w:val="left"/>
      <w:pPr>
        <w:ind w:left="0" w:firstLine="420"/>
      </w:pPr>
      <w:rPr>
        <w:rFonts w:hint="eastAsia"/>
      </w:rPr>
    </w:lvl>
  </w:abstractNum>
  <w:abstractNum w:abstractNumId="3">
    <w:nsid w:val="09E5B507"/>
    <w:multiLevelType w:val="singleLevel"/>
    <w:tmpl w:val="09E5B507"/>
    <w:lvl w:ilvl="0" w:tentative="0">
      <w:start w:val="1"/>
      <w:numFmt w:val="chineseCounting"/>
      <w:suff w:val="nothing"/>
      <w:lvlText w:val="（%1）"/>
      <w:lvlJc w:val="left"/>
      <w:rPr>
        <w:rFonts w:hint="eastAsia"/>
      </w:rPr>
    </w:lvl>
  </w:abstractNum>
  <w:abstractNum w:abstractNumId="4">
    <w:nsid w:val="4DBCB15D"/>
    <w:multiLevelType w:val="singleLevel"/>
    <w:tmpl w:val="4DBCB15D"/>
    <w:lvl w:ilvl="0" w:tentative="0">
      <w:start w:val="1"/>
      <w:numFmt w:val="chineseCounting"/>
      <w:suff w:val="nothing"/>
      <w:lvlText w:val="%1、"/>
      <w:lvlJc w:val="left"/>
      <w:rPr>
        <w:rFonts w:hint="eastAsia"/>
      </w:rPr>
    </w:lvl>
  </w:abstractNum>
  <w:abstractNum w:abstractNumId="5">
    <w:nsid w:val="508790A7"/>
    <w:multiLevelType w:val="singleLevel"/>
    <w:tmpl w:val="508790A7"/>
    <w:lvl w:ilvl="0" w:tentative="0">
      <w:start w:val="1"/>
      <w:numFmt w:val="chineseCounting"/>
      <w:suff w:val="nothing"/>
      <w:lvlText w:val="（%1）"/>
      <w:lvlJc w:val="left"/>
      <w:rPr>
        <w:rFonts w:hint="eastAsia"/>
      </w:rPr>
    </w:lvl>
  </w:abstractNum>
  <w:abstractNum w:abstractNumId="6">
    <w:nsid w:val="7345AD02"/>
    <w:multiLevelType w:val="singleLevel"/>
    <w:tmpl w:val="7345AD02"/>
    <w:lvl w:ilvl="0" w:tentative="0">
      <w:start w:val="1"/>
      <w:numFmt w:val="chineseCounting"/>
      <w:suff w:val="nothing"/>
      <w:lvlText w:val="（%1）"/>
      <w:lvlJc w:val="left"/>
      <w:rPr>
        <w:rFonts w:hint="eastAsia"/>
      </w:r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yOGUyNTZjNzE3NDUyNmNlYTYyOTI5M2NmN2Y1ZmQifQ=="/>
  </w:docVars>
  <w:rsids>
    <w:rsidRoot w:val="00000000"/>
    <w:rsid w:val="07361C72"/>
    <w:rsid w:val="07F67816"/>
    <w:rsid w:val="0B0F5035"/>
    <w:rsid w:val="0C5F4CAE"/>
    <w:rsid w:val="0DD33264"/>
    <w:rsid w:val="0E7B0089"/>
    <w:rsid w:val="0F1B0B98"/>
    <w:rsid w:val="0FDE12D6"/>
    <w:rsid w:val="0FF44894"/>
    <w:rsid w:val="185E3C0B"/>
    <w:rsid w:val="1B0A5729"/>
    <w:rsid w:val="20F628BA"/>
    <w:rsid w:val="22A85C3D"/>
    <w:rsid w:val="242332EA"/>
    <w:rsid w:val="262C5BFB"/>
    <w:rsid w:val="26964247"/>
    <w:rsid w:val="276E51C4"/>
    <w:rsid w:val="2ED95618"/>
    <w:rsid w:val="34351F10"/>
    <w:rsid w:val="352A495A"/>
    <w:rsid w:val="3793334B"/>
    <w:rsid w:val="37FC07D4"/>
    <w:rsid w:val="380A3C85"/>
    <w:rsid w:val="39051F87"/>
    <w:rsid w:val="3999181C"/>
    <w:rsid w:val="3C160F53"/>
    <w:rsid w:val="3D1E069A"/>
    <w:rsid w:val="3E3C203C"/>
    <w:rsid w:val="3E5C76CC"/>
    <w:rsid w:val="42731B53"/>
    <w:rsid w:val="42E90224"/>
    <w:rsid w:val="43176F9C"/>
    <w:rsid w:val="445A5C5F"/>
    <w:rsid w:val="456D6663"/>
    <w:rsid w:val="511C3F63"/>
    <w:rsid w:val="59F46CAA"/>
    <w:rsid w:val="5A1B4488"/>
    <w:rsid w:val="5AAE76C8"/>
    <w:rsid w:val="5C2A59AC"/>
    <w:rsid w:val="5CD821BC"/>
    <w:rsid w:val="5D2651CC"/>
    <w:rsid w:val="5DB8630B"/>
    <w:rsid w:val="5F0C25F1"/>
    <w:rsid w:val="5F1E5097"/>
    <w:rsid w:val="62115B72"/>
    <w:rsid w:val="65162FEF"/>
    <w:rsid w:val="723A3732"/>
    <w:rsid w:val="761836A5"/>
    <w:rsid w:val="764A4A9E"/>
    <w:rsid w:val="7C946478"/>
    <w:rsid w:val="7C947A56"/>
    <w:rsid w:val="7DB511B8"/>
    <w:rsid w:val="7FC70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ody Text"/>
    <w:basedOn w:val="1"/>
    <w:qFormat/>
    <w:uiPriority w:val="0"/>
  </w:style>
  <w:style w:type="paragraph" w:styleId="4">
    <w:name w:val="Body Text Indent"/>
    <w:basedOn w:val="1"/>
    <w:qFormat/>
    <w:uiPriority w:val="0"/>
    <w:pPr>
      <w:adjustRightInd w:val="0"/>
      <w:snapToGrid w:val="0"/>
      <w:spacing w:line="560" w:lineRule="atLeast"/>
      <w:ind w:firstLine="640" w:firstLineChars="200"/>
    </w:pPr>
    <w:rPr>
      <w:kern w:val="0"/>
      <w:szCs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Title"/>
    <w:basedOn w:val="1"/>
    <w:next w:val="1"/>
    <w:qFormat/>
    <w:uiPriority w:val="0"/>
    <w:pPr>
      <w:spacing w:before="240" w:beforeLines="0" w:after="60" w:afterLines="0"/>
      <w:jc w:val="center"/>
      <w:outlineLvl w:val="0"/>
    </w:pPr>
    <w:rPr>
      <w:rFonts w:ascii="Cambria" w:hAnsi="Cambria" w:eastAsia="宋体"/>
      <w:b/>
      <w:bCs/>
      <w:kern w:val="0"/>
      <w:szCs w:val="32"/>
    </w:rPr>
  </w:style>
  <w:style w:type="paragraph" w:customStyle="1" w:styleId="9">
    <w:name w:val="纯文本1"/>
    <w:basedOn w:val="1"/>
    <w:qFormat/>
    <w:uiPriority w:val="0"/>
    <w:rPr>
      <w:rFonts w:ascii="宋体" w:hAnsi="Courier New" w:cs="Courier New"/>
      <w:szCs w:val="21"/>
    </w:rPr>
  </w:style>
  <w:style w:type="paragraph" w:customStyle="1" w:styleId="10">
    <w:name w:val="p0"/>
    <w:basedOn w:val="1"/>
    <w:qFormat/>
    <w:uiPriority w:val="0"/>
    <w:pPr>
      <w:widowControl/>
    </w:pPr>
    <w:rPr>
      <w:kern w:val="0"/>
      <w:szCs w:val="21"/>
    </w:rPr>
  </w:style>
  <w:style w:type="paragraph" w:customStyle="1" w:styleId="11">
    <w:name w:val="办公自动化专用标题"/>
    <w:basedOn w:val="6"/>
    <w:qFormat/>
    <w:uiPriority w:val="0"/>
    <w:pPr>
      <w:spacing w:line="560" w:lineRule="atLeast"/>
    </w:pPr>
    <w:rPr>
      <w:rFonts w:ascii="宋体" w:hAnsi="Arial" w:cs="Times New Roman"/>
      <w:bCs w:val="0"/>
      <w:sz w:val="4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359</Words>
  <Characters>368</Characters>
  <Lines>0</Lines>
  <Paragraphs>0</Paragraphs>
  <TotalTime>12</TotalTime>
  <ScaleCrop>false</ScaleCrop>
  <LinksUpToDate>false</LinksUpToDate>
  <CharactersWithSpaces>382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君君</cp:lastModifiedBy>
  <cp:lastPrinted>2023-05-30T08:08:00Z</cp:lastPrinted>
  <dcterms:modified xsi:type="dcterms:W3CDTF">2026-07-03T07:20:01Z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D61C26F07BCD42EAA7FAFCE68738EFD6_13</vt:lpwstr>
  </property>
  <property fmtid="{D5CDD505-2E9C-101B-9397-08002B2CF9AE}" pid="4" name="KSOTemplateDocerSaveRecord">
    <vt:lpwstr>eyJoZGlkIjoiZWE1OWFjNGFmMDFjYjY3OTU5YTc5MGYxZmU2Y2M4ZTQiLCJ1c2VySWQiOiI4MTM1MTQ3MzIifQ==</vt:lpwstr>
  </property>
</Properties>
</file>