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7307A">
      <w:pPr>
        <w:keepNext w:val="0"/>
        <w:keepLines w:val="0"/>
        <w:pageBreakBefore w:val="0"/>
        <w:kinsoku/>
        <w:wordWrap/>
        <w:overflowPunct/>
        <w:topLinePunct w:val="0"/>
        <w:autoSpaceDE/>
        <w:autoSpaceDN/>
        <w:bidi w:val="0"/>
        <w:adjustRightInd/>
        <w:snapToGrid/>
        <w:spacing w:line="600" w:lineRule="exact"/>
        <w:textAlignment w:val="auto"/>
        <w:rPr>
          <w:rFonts w:hint="eastAsia" w:ascii="楷体" w:hAnsi="楷体" w:eastAsia="楷体" w:cs="楷体"/>
          <w:color w:val="auto"/>
          <w:sz w:val="32"/>
          <w:szCs w:val="32"/>
          <w:lang w:val="en-US" w:eastAsia="zh-CN"/>
        </w:rPr>
      </w:pPr>
    </w:p>
    <w:p w14:paraId="01427AA1">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景德镇市退役军人服务中心</w:t>
      </w:r>
    </w:p>
    <w:p w14:paraId="7B6206C3">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rPr>
        <w:t>202</w:t>
      </w:r>
      <w:r>
        <w:rPr>
          <w:rFonts w:hint="eastAsia" w:ascii="方正小标宋简体" w:hAnsi="方正小标宋简体" w:eastAsia="方正小标宋简体" w:cs="方正小标宋简体"/>
          <w:b w:val="0"/>
          <w:bCs w:val="0"/>
          <w:color w:val="auto"/>
          <w:sz w:val="44"/>
          <w:szCs w:val="44"/>
          <w:lang w:val="en-US" w:eastAsia="zh-CN"/>
        </w:rPr>
        <w:t>2</w:t>
      </w:r>
      <w:r>
        <w:rPr>
          <w:rFonts w:hint="eastAsia" w:ascii="方正小标宋简体" w:hAnsi="方正小标宋简体" w:eastAsia="方正小标宋简体" w:cs="方正小标宋简体"/>
          <w:b w:val="0"/>
          <w:bCs w:val="0"/>
          <w:color w:val="auto"/>
          <w:sz w:val="44"/>
          <w:szCs w:val="44"/>
        </w:rPr>
        <w:t>年度决算</w:t>
      </w:r>
    </w:p>
    <w:p w14:paraId="0533AAA1">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eastAsia="黑体"/>
          <w:color w:val="auto"/>
          <w:sz w:val="32"/>
          <w:szCs w:val="32"/>
          <w:lang w:eastAsia="zh-CN"/>
        </w:rPr>
      </w:pPr>
    </w:p>
    <w:p w14:paraId="2FC0FB17">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目    录</w:t>
      </w:r>
    </w:p>
    <w:p w14:paraId="5804205E">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hint="eastAsia" w:ascii="仿宋_GB2312" w:eastAsia="仿宋_GB2312"/>
          <w:color w:val="auto"/>
          <w:sz w:val="32"/>
          <w:szCs w:val="32"/>
        </w:rPr>
      </w:pPr>
    </w:p>
    <w:p w14:paraId="08175036">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第一部分 </w:t>
      </w:r>
      <w:r>
        <w:rPr>
          <w:rFonts w:hint="eastAsia" w:ascii="黑体" w:hAnsi="黑体" w:eastAsia="黑体" w:cs="黑体"/>
          <w:b w:val="0"/>
          <w:bCs/>
          <w:color w:val="auto"/>
          <w:sz w:val="32"/>
          <w:szCs w:val="32"/>
          <w:lang w:val="en-US" w:eastAsia="zh-CN"/>
        </w:rPr>
        <w:t>景德镇市退役军人服务中心</w:t>
      </w:r>
      <w:r>
        <w:rPr>
          <w:rFonts w:hint="eastAsia" w:ascii="黑体" w:hAnsi="黑体" w:eastAsia="黑体" w:cs="黑体"/>
          <w:b w:val="0"/>
          <w:bCs/>
          <w:color w:val="auto"/>
          <w:sz w:val="32"/>
          <w:szCs w:val="32"/>
        </w:rPr>
        <w:t>概况</w:t>
      </w:r>
    </w:p>
    <w:p w14:paraId="16F992B0">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一、</w:t>
      </w:r>
      <w:r>
        <w:rPr>
          <w:rFonts w:hint="eastAsia" w:ascii="仿宋_GB2312" w:hAnsi="仿宋_GB2312" w:eastAsia="仿宋_GB2312"/>
          <w:color w:val="auto"/>
          <w:sz w:val="32"/>
          <w:szCs w:val="32"/>
          <w:lang w:val="en-US" w:eastAsia="zh-CN"/>
        </w:rPr>
        <w:t>单位</w:t>
      </w:r>
      <w:r>
        <w:rPr>
          <w:rFonts w:hint="eastAsia" w:ascii="仿宋_GB2312" w:hAnsi="仿宋_GB2312" w:eastAsia="仿宋_GB2312"/>
          <w:color w:val="auto"/>
          <w:sz w:val="32"/>
          <w:szCs w:val="32"/>
        </w:rPr>
        <w:t>主要职责</w:t>
      </w:r>
    </w:p>
    <w:p w14:paraId="68556D8E">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二、</w:t>
      </w:r>
      <w:r>
        <w:rPr>
          <w:rFonts w:hint="eastAsia" w:ascii="仿宋_GB2312" w:hAnsi="仿宋_GB2312" w:eastAsia="仿宋_GB2312" w:cs="宋体"/>
          <w:color w:val="auto"/>
          <w:kern w:val="0"/>
          <w:sz w:val="32"/>
          <w:szCs w:val="32"/>
          <w:lang w:val="en-US" w:eastAsia="zh-CN"/>
        </w:rPr>
        <w:t>单位</w:t>
      </w:r>
      <w:r>
        <w:rPr>
          <w:rFonts w:hint="eastAsia" w:ascii="仿宋_GB2312" w:hAnsi="仿宋_GB2312" w:eastAsia="仿宋_GB2312" w:cs="宋体"/>
          <w:color w:val="auto"/>
          <w:kern w:val="0"/>
          <w:sz w:val="32"/>
          <w:szCs w:val="32"/>
        </w:rPr>
        <w:t>基本情况</w:t>
      </w:r>
    </w:p>
    <w:p w14:paraId="1D34FFAE">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r>
        <w:rPr>
          <w:rFonts w:hint="eastAsia" w:ascii="黑体" w:hAnsi="黑体" w:eastAsia="黑体"/>
          <w:color w:val="auto"/>
          <w:sz w:val="32"/>
          <w:szCs w:val="32"/>
        </w:rPr>
        <w:t>第二部分  202</w:t>
      </w:r>
      <w:r>
        <w:rPr>
          <w:rFonts w:hint="eastAsia" w:ascii="黑体" w:hAnsi="黑体" w:eastAsia="黑体"/>
          <w:color w:val="auto"/>
          <w:sz w:val="32"/>
          <w:szCs w:val="32"/>
          <w:lang w:val="en-US" w:eastAsia="zh-CN"/>
        </w:rPr>
        <w:t>2</w:t>
      </w:r>
      <w:r>
        <w:rPr>
          <w:rFonts w:hint="eastAsia" w:ascii="黑体" w:hAnsi="黑体" w:eastAsia="黑体"/>
          <w:color w:val="auto"/>
          <w:sz w:val="32"/>
          <w:szCs w:val="32"/>
        </w:rPr>
        <w:t>年度</w:t>
      </w:r>
      <w:r>
        <w:rPr>
          <w:rFonts w:hint="eastAsia" w:ascii="黑体" w:hAnsi="黑体" w:eastAsia="黑体"/>
          <w:color w:val="auto"/>
          <w:sz w:val="32"/>
          <w:szCs w:val="32"/>
          <w:lang w:val="en-US" w:eastAsia="zh-CN"/>
        </w:rPr>
        <w:t>单位</w:t>
      </w:r>
      <w:r>
        <w:rPr>
          <w:rFonts w:hint="eastAsia" w:ascii="黑体" w:hAnsi="黑体" w:eastAsia="黑体"/>
          <w:color w:val="auto"/>
          <w:sz w:val="32"/>
          <w:szCs w:val="32"/>
        </w:rPr>
        <w:t>决算表</w:t>
      </w:r>
    </w:p>
    <w:p w14:paraId="1985B110">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一、收入支出决算总表</w:t>
      </w:r>
    </w:p>
    <w:p w14:paraId="5E257A84">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二、收入决算表</w:t>
      </w:r>
    </w:p>
    <w:p w14:paraId="4C84894B">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三、支出决算表</w:t>
      </w:r>
    </w:p>
    <w:p w14:paraId="3FCD2E67">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四、财政拨款收入支出决算总表</w:t>
      </w:r>
    </w:p>
    <w:p w14:paraId="33B8FBCE">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五、一般公共预算财政拨款支出决算表</w:t>
      </w:r>
    </w:p>
    <w:p w14:paraId="557F6732">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六、一般公共预算财政拨款基本支出决算表</w:t>
      </w:r>
    </w:p>
    <w:p w14:paraId="77E1FD28">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七、</w:t>
      </w:r>
      <w:r>
        <w:rPr>
          <w:rFonts w:hint="eastAsia" w:ascii="仿宋_GB2312" w:hAnsi="仿宋_GB2312" w:eastAsia="仿宋_GB2312" w:cs="宋体"/>
          <w:color w:val="auto"/>
          <w:kern w:val="0"/>
          <w:sz w:val="32"/>
          <w:szCs w:val="32"/>
        </w:rPr>
        <w:t>政府性基金预算财政拨款收入支出决算表</w:t>
      </w:r>
    </w:p>
    <w:p w14:paraId="1B8A4EAD">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八、国有资本经营预算财政拨款支出决算表</w:t>
      </w:r>
    </w:p>
    <w:p w14:paraId="486B5EBF">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九、</w:t>
      </w:r>
      <w:r>
        <w:rPr>
          <w:rFonts w:hint="eastAsia" w:ascii="仿宋_GB2312" w:hAnsi="仿宋_GB2312" w:eastAsia="仿宋_GB2312" w:cs="宋体"/>
          <w:color w:val="auto"/>
          <w:kern w:val="0"/>
          <w:sz w:val="32"/>
          <w:szCs w:val="32"/>
        </w:rPr>
        <w:t>财政拨款“三公”经费支出决算表</w:t>
      </w:r>
    </w:p>
    <w:p w14:paraId="42C972DA">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十</w:t>
      </w:r>
      <w:r>
        <w:rPr>
          <w:rFonts w:hint="eastAsia" w:ascii="仿宋_GB2312" w:hAnsi="仿宋_GB2312" w:eastAsia="仿宋_GB2312" w:cs="宋体"/>
          <w:color w:val="auto"/>
          <w:kern w:val="0"/>
          <w:sz w:val="32"/>
          <w:szCs w:val="32"/>
        </w:rPr>
        <w:t>、国有资产占用情况表</w:t>
      </w:r>
    </w:p>
    <w:p w14:paraId="7C5BDBED">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p>
    <w:p w14:paraId="69921D75">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p>
    <w:p w14:paraId="07FCC29C">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p>
    <w:p w14:paraId="3A69CCCE">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r>
        <w:rPr>
          <w:rFonts w:hint="eastAsia" w:ascii="黑体" w:hAnsi="黑体" w:eastAsia="黑体"/>
          <w:color w:val="auto"/>
          <w:sz w:val="32"/>
          <w:szCs w:val="32"/>
        </w:rPr>
        <w:t>第三部分  202</w:t>
      </w:r>
      <w:r>
        <w:rPr>
          <w:rFonts w:hint="eastAsia" w:ascii="黑体" w:hAnsi="黑体" w:eastAsia="黑体"/>
          <w:color w:val="auto"/>
          <w:sz w:val="32"/>
          <w:szCs w:val="32"/>
          <w:lang w:val="en-US" w:eastAsia="zh-CN"/>
        </w:rPr>
        <w:t>2</w:t>
      </w:r>
      <w:r>
        <w:rPr>
          <w:rFonts w:hint="eastAsia" w:ascii="黑体" w:hAnsi="黑体" w:eastAsia="黑体"/>
          <w:color w:val="auto"/>
          <w:sz w:val="32"/>
          <w:szCs w:val="32"/>
        </w:rPr>
        <w:t>年度</w:t>
      </w:r>
      <w:r>
        <w:rPr>
          <w:rFonts w:hint="eastAsia" w:ascii="黑体" w:hAnsi="黑体" w:eastAsia="黑体"/>
          <w:color w:val="auto"/>
          <w:sz w:val="32"/>
          <w:szCs w:val="32"/>
          <w:lang w:val="en-US" w:eastAsia="zh-CN"/>
        </w:rPr>
        <w:t>单位</w:t>
      </w:r>
      <w:r>
        <w:rPr>
          <w:rFonts w:hint="eastAsia" w:ascii="黑体" w:hAnsi="黑体" w:eastAsia="黑体"/>
          <w:color w:val="auto"/>
          <w:sz w:val="32"/>
          <w:szCs w:val="32"/>
        </w:rPr>
        <w:t>决算情况说明</w:t>
      </w:r>
    </w:p>
    <w:p w14:paraId="49C9BD5D">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一、收入决算情况说明</w:t>
      </w:r>
    </w:p>
    <w:p w14:paraId="6CFE50E4">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二、支出决算情况说明</w:t>
      </w:r>
    </w:p>
    <w:p w14:paraId="22B27A2A">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三、财政拨款支出决算情况说明</w:t>
      </w:r>
    </w:p>
    <w:p w14:paraId="2B9F90C7">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四、一般公共预算财政拨款基本支出决算情况说明</w:t>
      </w:r>
    </w:p>
    <w:p w14:paraId="61CC0794">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五、财政拨款“三公”经费支出决算情况说明</w:t>
      </w:r>
    </w:p>
    <w:p w14:paraId="5587750C">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六、机关运行经费支出情况说明</w:t>
      </w:r>
    </w:p>
    <w:p w14:paraId="6B2C8436">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七、政府采购支出情况说明</w:t>
      </w:r>
    </w:p>
    <w:p w14:paraId="61A594E0">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八、国有资产占用情况说明</w:t>
      </w:r>
    </w:p>
    <w:p w14:paraId="77B7E9D7">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九、预算绩效情况说明</w:t>
      </w:r>
    </w:p>
    <w:p w14:paraId="1E37C134">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olor w:val="auto"/>
          <w:sz w:val="32"/>
          <w:szCs w:val="32"/>
        </w:rPr>
      </w:pPr>
      <w:r>
        <w:rPr>
          <w:rFonts w:hint="eastAsia" w:ascii="黑体" w:hAnsi="黑体" w:eastAsia="黑体"/>
          <w:color w:val="auto"/>
          <w:sz w:val="32"/>
          <w:szCs w:val="32"/>
        </w:rPr>
        <w:t>第四部分  名词解释</w:t>
      </w:r>
    </w:p>
    <w:p w14:paraId="3368C652">
      <w:pPr>
        <w:widowControl/>
        <w:spacing w:line="580" w:lineRule="exact"/>
        <w:jc w:val="center"/>
        <w:rPr>
          <w:rFonts w:hint="eastAsia" w:ascii="宋体" w:hAnsi="宋体"/>
          <w:b/>
          <w:sz w:val="32"/>
          <w:szCs w:val="30"/>
        </w:rPr>
      </w:pPr>
    </w:p>
    <w:p w14:paraId="3F556616">
      <w:pPr>
        <w:jc w:val="both"/>
        <w:rPr>
          <w:rFonts w:hint="eastAsia" w:ascii="宋体" w:hAnsi="宋体"/>
          <w:b/>
          <w:sz w:val="36"/>
          <w:szCs w:val="36"/>
        </w:rPr>
      </w:pPr>
    </w:p>
    <w:p w14:paraId="66F39C1C">
      <w:pPr>
        <w:ind w:firstLine="630"/>
        <w:jc w:val="center"/>
        <w:rPr>
          <w:rFonts w:hint="eastAsia" w:ascii="宋体" w:hAnsi="宋体"/>
          <w:b/>
          <w:sz w:val="36"/>
          <w:szCs w:val="36"/>
        </w:rPr>
      </w:pPr>
    </w:p>
    <w:p w14:paraId="7427E02F">
      <w:pPr>
        <w:ind w:firstLine="630"/>
        <w:jc w:val="center"/>
        <w:rPr>
          <w:rFonts w:hint="eastAsia" w:ascii="宋体" w:hAnsi="宋体"/>
          <w:b/>
          <w:sz w:val="36"/>
          <w:szCs w:val="36"/>
        </w:rPr>
      </w:pPr>
    </w:p>
    <w:p w14:paraId="60183893">
      <w:pPr>
        <w:pStyle w:val="3"/>
        <w:rPr>
          <w:rFonts w:hint="eastAsia" w:ascii="宋体" w:hAnsi="宋体"/>
          <w:b/>
          <w:sz w:val="32"/>
          <w:szCs w:val="30"/>
        </w:rPr>
      </w:pPr>
    </w:p>
    <w:p w14:paraId="107A6855">
      <w:pPr>
        <w:pStyle w:val="3"/>
        <w:rPr>
          <w:rFonts w:hint="eastAsia" w:ascii="宋体" w:hAnsi="宋体"/>
          <w:b/>
          <w:sz w:val="32"/>
          <w:szCs w:val="30"/>
        </w:rPr>
      </w:pPr>
    </w:p>
    <w:p w14:paraId="7A190484">
      <w:pPr>
        <w:widowControl/>
        <w:spacing w:line="580" w:lineRule="exact"/>
        <w:jc w:val="center"/>
        <w:rPr>
          <w:rFonts w:hint="eastAsia" w:ascii="宋体" w:hAnsi="宋体"/>
          <w:b/>
          <w:sz w:val="32"/>
          <w:szCs w:val="30"/>
        </w:rPr>
      </w:pPr>
    </w:p>
    <w:p w14:paraId="7DD32A83">
      <w:pPr>
        <w:widowControl/>
        <w:spacing w:line="580" w:lineRule="exact"/>
        <w:jc w:val="center"/>
        <w:rPr>
          <w:rFonts w:hint="eastAsia" w:ascii="宋体" w:hAnsi="宋体"/>
          <w:b/>
          <w:sz w:val="32"/>
          <w:szCs w:val="30"/>
        </w:rPr>
      </w:pPr>
    </w:p>
    <w:p w14:paraId="2B299C6B">
      <w:pPr>
        <w:widowControl/>
        <w:spacing w:line="580" w:lineRule="exact"/>
        <w:jc w:val="center"/>
        <w:rPr>
          <w:rFonts w:hint="eastAsia" w:ascii="宋体" w:hAnsi="宋体"/>
          <w:b/>
          <w:sz w:val="32"/>
          <w:szCs w:val="30"/>
        </w:rPr>
      </w:pPr>
    </w:p>
    <w:p w14:paraId="777A0D2B">
      <w:pPr>
        <w:widowControl/>
        <w:spacing w:line="580" w:lineRule="exact"/>
        <w:jc w:val="center"/>
        <w:rPr>
          <w:rFonts w:hint="eastAsia" w:ascii="宋体" w:hAnsi="宋体"/>
          <w:b/>
          <w:sz w:val="32"/>
          <w:szCs w:val="30"/>
        </w:rPr>
      </w:pPr>
    </w:p>
    <w:p w14:paraId="60EC0972">
      <w:pPr>
        <w:widowControl/>
        <w:spacing w:line="580" w:lineRule="exact"/>
        <w:jc w:val="center"/>
        <w:rPr>
          <w:rFonts w:hint="eastAsia" w:ascii="宋体" w:hAnsi="宋体"/>
          <w:b/>
          <w:sz w:val="32"/>
          <w:szCs w:val="30"/>
        </w:rPr>
      </w:pPr>
    </w:p>
    <w:p w14:paraId="6FF931D3">
      <w:pPr>
        <w:widowControl/>
        <w:spacing w:line="580" w:lineRule="exact"/>
        <w:jc w:val="center"/>
        <w:rPr>
          <w:rFonts w:hint="eastAsia" w:ascii="宋体" w:hAnsi="宋体"/>
          <w:b/>
          <w:sz w:val="32"/>
          <w:szCs w:val="30"/>
        </w:rPr>
      </w:pPr>
    </w:p>
    <w:p w14:paraId="7724FDB3">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lang w:eastAsia="zh-CN"/>
        </w:rPr>
      </w:pPr>
      <w:r>
        <w:rPr>
          <w:rFonts w:hint="eastAsia" w:ascii="方正小标宋简体" w:hAnsi="方正小标宋简体" w:eastAsia="方正小标宋简体" w:cs="方正小标宋简体"/>
          <w:b w:val="0"/>
          <w:bCs/>
          <w:color w:val="auto"/>
          <w:sz w:val="44"/>
          <w:szCs w:val="44"/>
        </w:rPr>
        <w:t xml:space="preserve">第一部分  </w:t>
      </w:r>
      <w:r>
        <w:rPr>
          <w:rFonts w:hint="eastAsia" w:ascii="方正小标宋简体" w:hAnsi="方正小标宋简体" w:eastAsia="方正小标宋简体" w:cs="方正小标宋简体"/>
          <w:b w:val="0"/>
          <w:bCs/>
          <w:color w:val="auto"/>
          <w:sz w:val="44"/>
          <w:szCs w:val="44"/>
          <w:lang w:val="en-US" w:eastAsia="zh-CN"/>
        </w:rPr>
        <w:t>市退役军人服务中心概况</w:t>
      </w:r>
    </w:p>
    <w:p w14:paraId="0837C12E">
      <w:pPr>
        <w:ind w:firstLine="630"/>
        <w:jc w:val="center"/>
        <w:rPr>
          <w:rFonts w:hint="eastAsia"/>
          <w:sz w:val="32"/>
          <w:szCs w:val="32"/>
        </w:rPr>
      </w:pPr>
    </w:p>
    <w:p w14:paraId="205C3339">
      <w:pPr>
        <w:ind w:firstLine="630"/>
        <w:jc w:val="left"/>
        <w:rPr>
          <w:rFonts w:hint="eastAsia" w:ascii="黑体" w:hAnsi="黑体" w:eastAsia="黑体"/>
          <w:sz w:val="32"/>
          <w:szCs w:val="32"/>
        </w:rPr>
      </w:pPr>
      <w:r>
        <w:rPr>
          <w:rFonts w:hint="eastAsia" w:ascii="黑体" w:hAnsi="黑体" w:eastAsia="黑体"/>
          <w:sz w:val="32"/>
          <w:szCs w:val="32"/>
        </w:rPr>
        <w:t>一、</w:t>
      </w:r>
      <w:r>
        <w:rPr>
          <w:rFonts w:hint="eastAsia" w:ascii="黑体" w:hAnsi="黑体" w:eastAsia="黑体"/>
          <w:sz w:val="32"/>
          <w:szCs w:val="32"/>
          <w:lang w:eastAsia="zh-CN"/>
        </w:rPr>
        <w:t>单位</w:t>
      </w:r>
      <w:r>
        <w:rPr>
          <w:rFonts w:hint="eastAsia" w:ascii="黑体" w:hAnsi="黑体" w:eastAsia="黑体"/>
          <w:sz w:val="32"/>
          <w:szCs w:val="32"/>
        </w:rPr>
        <w:t>主要职能</w:t>
      </w:r>
    </w:p>
    <w:p w14:paraId="579D6D30">
      <w:pPr>
        <w:keepNext w:val="0"/>
        <w:keepLines w:val="0"/>
        <w:pageBreakBefore w:val="0"/>
        <w:widowControl w:val="0"/>
        <w:numPr>
          <w:ilvl w:val="0"/>
          <w:numId w:val="0"/>
        </w:numPr>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1、协助做好退役军人行政关系、组织关系、供给关系转接和档案移交，推动将退役军人流动党员纳入入党的基层组织，配合组织单位做好教育管理。</w:t>
      </w:r>
    </w:p>
    <w:p w14:paraId="13E005BD">
      <w:pPr>
        <w:keepNext w:val="0"/>
        <w:keepLines w:val="0"/>
        <w:pageBreakBefore w:val="0"/>
        <w:widowControl w:val="0"/>
        <w:numPr>
          <w:ilvl w:val="0"/>
          <w:numId w:val="0"/>
        </w:numPr>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2、协助做好退役军人来信来访、接待办理、心理疏导、权益咨询、政策解答、法律服务以及涉退役军人舆情的收集,引导等工作。</w:t>
      </w:r>
    </w:p>
    <w:p w14:paraId="7FC279E2">
      <w:pPr>
        <w:keepNext w:val="0"/>
        <w:keepLines w:val="0"/>
        <w:pageBreakBefore w:val="0"/>
        <w:widowControl w:val="0"/>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3、协助做好军属、烈属、伤病残军人、带病返乡退役军人服务等事务性工作。</w:t>
      </w:r>
    </w:p>
    <w:p w14:paraId="5943D81D">
      <w:pPr>
        <w:keepNext w:val="0"/>
        <w:keepLines w:val="0"/>
        <w:pageBreakBefore w:val="0"/>
        <w:widowControl w:val="0"/>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4、协助开展退役军人和其他优抚对象信息数据采集、资料整理、汇总分析等工作。</w:t>
      </w:r>
    </w:p>
    <w:p w14:paraId="6F72262B">
      <w:pPr>
        <w:keepNext w:val="0"/>
        <w:keepLines w:val="0"/>
        <w:pageBreakBefore w:val="0"/>
        <w:widowControl w:val="0"/>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5、负责提供就业创业服务和政策咨询,协助开展职业教育和技能培训,承办自主就业退役军人招聘会、推介会、就业论坛等,搭建就业创业、困难退役军人军属帮扶援助平台。</w:t>
      </w:r>
    </w:p>
    <w:p w14:paraId="025A04C3">
      <w:pPr>
        <w:ind w:firstLine="630"/>
        <w:jc w:val="left"/>
        <w:rPr>
          <w:rFonts w:hint="eastAsia" w:ascii="黑体" w:hAnsi="黑体" w:eastAsia="黑体"/>
          <w:sz w:val="28"/>
          <w:szCs w:val="28"/>
        </w:rPr>
      </w:pPr>
      <w:r>
        <w:rPr>
          <w:rFonts w:hint="eastAsia" w:ascii="黑体" w:hAnsi="黑体" w:eastAsia="黑体"/>
          <w:sz w:val="28"/>
          <w:szCs w:val="28"/>
        </w:rPr>
        <w:t>二、</w:t>
      </w:r>
      <w:r>
        <w:rPr>
          <w:rFonts w:hint="eastAsia" w:ascii="黑体" w:hAnsi="黑体" w:eastAsia="黑体"/>
          <w:sz w:val="28"/>
          <w:szCs w:val="28"/>
          <w:lang w:eastAsia="zh-CN"/>
        </w:rPr>
        <w:t>单位</w:t>
      </w:r>
      <w:r>
        <w:rPr>
          <w:rFonts w:hint="eastAsia" w:ascii="黑体" w:hAnsi="黑体" w:eastAsia="黑体"/>
          <w:sz w:val="28"/>
          <w:szCs w:val="28"/>
        </w:rPr>
        <w:t>基本情况</w:t>
      </w:r>
    </w:p>
    <w:p w14:paraId="18F29EC9">
      <w:pPr>
        <w:ind w:firstLine="630"/>
        <w:jc w:val="left"/>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本单位设立5个内设机构，分别是</w:t>
      </w:r>
      <w:r>
        <w:rPr>
          <w:rFonts w:hint="eastAsia" w:ascii="仿宋_GB2312" w:hAnsi="仿宋_GB2312" w:eastAsia="仿宋_GB2312" w:cs="Times New Roman"/>
          <w:color w:val="auto"/>
          <w:sz w:val="32"/>
          <w:szCs w:val="32"/>
          <w:lang w:val="en-US" w:eastAsia="zh-CN"/>
        </w:rPr>
        <w:t>综合股、信息服务股、拥军优抚股、信访接待股、就业创业股。</w:t>
      </w:r>
    </w:p>
    <w:p w14:paraId="2113F756">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rPr>
        <w:t>本</w:t>
      </w:r>
      <w:r>
        <w:rPr>
          <w:rFonts w:hint="eastAsia" w:ascii="仿宋_GB2312" w:hAnsi="仿宋_GB2312" w:eastAsia="仿宋_GB2312"/>
          <w:color w:val="auto"/>
          <w:sz w:val="32"/>
          <w:szCs w:val="32"/>
          <w:lang w:val="en-US" w:eastAsia="zh-CN"/>
        </w:rPr>
        <w:t>单位</w:t>
      </w:r>
      <w:r>
        <w:rPr>
          <w:rFonts w:hint="eastAsia" w:ascii="仿宋_GB2312" w:hAnsi="仿宋_GB2312" w:eastAsia="仿宋_GB2312"/>
          <w:color w:val="auto"/>
          <w:sz w:val="32"/>
          <w:szCs w:val="32"/>
        </w:rPr>
        <w:t>202</w:t>
      </w:r>
      <w:r>
        <w:rPr>
          <w:rFonts w:hint="eastAsia" w:ascii="仿宋_GB2312" w:hAnsi="仿宋_GB2312" w:eastAsia="仿宋_GB2312"/>
          <w:color w:val="auto"/>
          <w:sz w:val="32"/>
          <w:szCs w:val="32"/>
          <w:lang w:val="en-US" w:eastAsia="zh-CN"/>
        </w:rPr>
        <w:t>2</w:t>
      </w:r>
      <w:r>
        <w:rPr>
          <w:rFonts w:hint="eastAsia" w:ascii="仿宋_GB2312" w:hAnsi="仿宋_GB2312" w:eastAsia="仿宋_GB2312"/>
          <w:color w:val="auto"/>
          <w:sz w:val="32"/>
          <w:szCs w:val="32"/>
        </w:rPr>
        <w:t>年年末实有人数</w:t>
      </w:r>
      <w:r>
        <w:rPr>
          <w:rFonts w:hint="eastAsia" w:ascii="仿宋_GB2312" w:hAnsi="仿宋_GB2312" w:eastAsia="仿宋_GB2312"/>
          <w:color w:val="auto"/>
          <w:sz w:val="32"/>
          <w:szCs w:val="32"/>
          <w:lang w:val="en-US" w:eastAsia="zh-CN"/>
        </w:rPr>
        <w:t>26</w:t>
      </w:r>
      <w:r>
        <w:rPr>
          <w:rFonts w:hint="eastAsia" w:ascii="仿宋_GB2312" w:hAnsi="仿宋_GB2312" w:eastAsia="仿宋_GB2312"/>
          <w:color w:val="auto"/>
          <w:sz w:val="32"/>
          <w:szCs w:val="32"/>
        </w:rPr>
        <w:t>人，其中在职人员</w:t>
      </w:r>
      <w:r>
        <w:rPr>
          <w:rFonts w:hint="eastAsia" w:ascii="仿宋_GB2312" w:hAnsi="仿宋_GB2312" w:eastAsia="仿宋_GB2312"/>
          <w:color w:val="auto"/>
          <w:sz w:val="32"/>
          <w:szCs w:val="32"/>
          <w:lang w:val="en-US" w:eastAsia="zh-CN"/>
        </w:rPr>
        <w:t>26</w:t>
      </w:r>
      <w:r>
        <w:rPr>
          <w:rFonts w:hint="eastAsia" w:ascii="仿宋_GB2312" w:hAnsi="仿宋_GB2312" w:eastAsia="仿宋_GB2312"/>
          <w:color w:val="auto"/>
          <w:sz w:val="32"/>
          <w:szCs w:val="32"/>
        </w:rPr>
        <w:t>人，离休人员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人，退休人员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lang w:val="en-US" w:eastAsia="zh-CN"/>
        </w:rPr>
        <w:t>不含</w:t>
      </w:r>
      <w:r>
        <w:rPr>
          <w:rFonts w:hint="eastAsia" w:ascii="仿宋_GB2312" w:hAnsi="仿宋_GB2312" w:eastAsia="仿宋_GB2312"/>
          <w:color w:val="auto"/>
          <w:sz w:val="32"/>
          <w:szCs w:val="32"/>
        </w:rPr>
        <w:t>由养老保险基金发放养老金的离退休人员</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rPr>
        <w:t>；年末其他人员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人；年末学生人数</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val="en-US" w:eastAsia="zh-CN"/>
        </w:rPr>
        <w:t>；</w:t>
      </w:r>
      <w:r>
        <w:rPr>
          <w:rFonts w:hint="eastAsia" w:ascii="仿宋_GB2312" w:hAnsi="仿宋_GB2312" w:eastAsia="仿宋_GB2312"/>
          <w:color w:val="auto"/>
          <w:sz w:val="32"/>
          <w:szCs w:val="32"/>
        </w:rPr>
        <w:t>由养老保险基金发放养老金的离退休人员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eastAsia="zh-CN"/>
        </w:rPr>
        <w:t>。</w:t>
      </w:r>
    </w:p>
    <w:p w14:paraId="2D59C5B1">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第二部分  202</w:t>
      </w:r>
      <w:r>
        <w:rPr>
          <w:rFonts w:hint="eastAsia" w:ascii="方正小标宋简体" w:hAnsi="方正小标宋简体" w:eastAsia="方正小标宋简体" w:cs="方正小标宋简体"/>
          <w:b w:val="0"/>
          <w:bCs/>
          <w:color w:val="auto"/>
          <w:sz w:val="44"/>
          <w:szCs w:val="44"/>
          <w:lang w:val="en-US" w:eastAsia="zh-CN"/>
        </w:rPr>
        <w:t>2</w:t>
      </w:r>
      <w:r>
        <w:rPr>
          <w:rFonts w:hint="eastAsia" w:ascii="方正小标宋简体" w:hAnsi="方正小标宋简体" w:eastAsia="方正小标宋简体" w:cs="方正小标宋简体"/>
          <w:b w:val="0"/>
          <w:bCs/>
          <w:color w:val="auto"/>
          <w:sz w:val="44"/>
          <w:szCs w:val="44"/>
        </w:rPr>
        <w:t>年度</w:t>
      </w:r>
      <w:r>
        <w:rPr>
          <w:rFonts w:hint="eastAsia" w:ascii="方正小标宋简体" w:hAnsi="方正小标宋简体" w:eastAsia="方正小标宋简体" w:cs="方正小标宋简体"/>
          <w:b w:val="0"/>
          <w:bCs/>
          <w:color w:val="auto"/>
          <w:sz w:val="44"/>
          <w:szCs w:val="44"/>
          <w:lang w:val="en-US" w:eastAsia="zh-CN"/>
        </w:rPr>
        <w:t>单位</w:t>
      </w:r>
      <w:r>
        <w:rPr>
          <w:rFonts w:hint="eastAsia" w:ascii="方正小标宋简体" w:hAnsi="方正小标宋简体" w:eastAsia="方正小标宋简体" w:cs="方正小标宋简体"/>
          <w:b w:val="0"/>
          <w:bCs/>
          <w:color w:val="auto"/>
          <w:sz w:val="44"/>
          <w:szCs w:val="44"/>
        </w:rPr>
        <w:t>决算表</w:t>
      </w:r>
    </w:p>
    <w:p w14:paraId="4154472B">
      <w:pPr>
        <w:autoSpaceDE w:val="0"/>
        <w:autoSpaceDN w:val="0"/>
        <w:adjustRightInd w:val="0"/>
        <w:spacing w:line="360" w:lineRule="auto"/>
        <w:jc w:val="center"/>
        <w:rPr>
          <w:rFonts w:hint="eastAsia" w:eastAsia="宋体"/>
          <w:lang w:eastAsia="zh-CN"/>
        </w:rPr>
      </w:pPr>
      <w:r>
        <w:rPr>
          <w:rFonts w:hint="eastAsia" w:eastAsia="宋体"/>
          <w:lang w:eastAsia="zh-CN"/>
        </w:rPr>
        <w:drawing>
          <wp:inline distT="0" distB="0" distL="114300" distR="114300">
            <wp:extent cx="5273040" cy="5233670"/>
            <wp:effectExtent l="0" t="0" r="3810" b="5080"/>
            <wp:docPr id="1" name="图片 1" descr="1695175205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95175205415"/>
                    <pic:cNvPicPr>
                      <a:picLocks noChangeAspect="1"/>
                    </pic:cNvPicPr>
                  </pic:nvPicPr>
                  <pic:blipFill>
                    <a:blip r:embed="rId4"/>
                    <a:stretch>
                      <a:fillRect/>
                    </a:stretch>
                  </pic:blipFill>
                  <pic:spPr>
                    <a:xfrm>
                      <a:off x="0" y="0"/>
                      <a:ext cx="5273040" cy="5233670"/>
                    </a:xfrm>
                    <a:prstGeom prst="rect">
                      <a:avLst/>
                    </a:prstGeom>
                  </pic:spPr>
                </pic:pic>
              </a:graphicData>
            </a:graphic>
          </wp:inline>
        </w:drawing>
      </w:r>
    </w:p>
    <w:p w14:paraId="1951B213">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7325" cy="2605405"/>
            <wp:effectExtent l="0" t="0" r="9525" b="4445"/>
            <wp:docPr id="2" name="图片 2" descr="169517525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95175250656"/>
                    <pic:cNvPicPr>
                      <a:picLocks noChangeAspect="1"/>
                    </pic:cNvPicPr>
                  </pic:nvPicPr>
                  <pic:blipFill>
                    <a:blip r:embed="rId5"/>
                    <a:stretch>
                      <a:fillRect/>
                    </a:stretch>
                  </pic:blipFill>
                  <pic:spPr>
                    <a:xfrm>
                      <a:off x="0" y="0"/>
                      <a:ext cx="5267325" cy="2605405"/>
                    </a:xfrm>
                    <a:prstGeom prst="rect">
                      <a:avLst/>
                    </a:prstGeom>
                  </pic:spPr>
                </pic:pic>
              </a:graphicData>
            </a:graphic>
          </wp:inline>
        </w:drawing>
      </w:r>
    </w:p>
    <w:p w14:paraId="03061176">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70500" cy="2775585"/>
            <wp:effectExtent l="0" t="0" r="6350" b="5715"/>
            <wp:docPr id="3" name="图片 3" descr="169517528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95175281311"/>
                    <pic:cNvPicPr>
                      <a:picLocks noChangeAspect="1"/>
                    </pic:cNvPicPr>
                  </pic:nvPicPr>
                  <pic:blipFill>
                    <a:blip r:embed="rId6"/>
                    <a:stretch>
                      <a:fillRect/>
                    </a:stretch>
                  </pic:blipFill>
                  <pic:spPr>
                    <a:xfrm>
                      <a:off x="0" y="0"/>
                      <a:ext cx="5270500" cy="2775585"/>
                    </a:xfrm>
                    <a:prstGeom prst="rect">
                      <a:avLst/>
                    </a:prstGeom>
                  </pic:spPr>
                </pic:pic>
              </a:graphicData>
            </a:graphic>
          </wp:inline>
        </w:drawing>
      </w:r>
    </w:p>
    <w:p w14:paraId="4D1C039B">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1135" cy="3830320"/>
            <wp:effectExtent l="0" t="0" r="5715" b="17780"/>
            <wp:docPr id="4" name="图片 4" descr="1695175299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95175299576"/>
                    <pic:cNvPicPr>
                      <a:picLocks noChangeAspect="1"/>
                    </pic:cNvPicPr>
                  </pic:nvPicPr>
                  <pic:blipFill>
                    <a:blip r:embed="rId7"/>
                    <a:stretch>
                      <a:fillRect/>
                    </a:stretch>
                  </pic:blipFill>
                  <pic:spPr>
                    <a:xfrm>
                      <a:off x="0" y="0"/>
                      <a:ext cx="5271135" cy="3830320"/>
                    </a:xfrm>
                    <a:prstGeom prst="rect">
                      <a:avLst/>
                    </a:prstGeom>
                  </pic:spPr>
                </pic:pic>
              </a:graphicData>
            </a:graphic>
          </wp:inline>
        </w:drawing>
      </w:r>
    </w:p>
    <w:p w14:paraId="00125618">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9230" cy="4028440"/>
            <wp:effectExtent l="0" t="0" r="7620" b="10160"/>
            <wp:docPr id="5" name="图片 5" descr="169517531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95175313567"/>
                    <pic:cNvPicPr>
                      <a:picLocks noChangeAspect="1"/>
                    </pic:cNvPicPr>
                  </pic:nvPicPr>
                  <pic:blipFill>
                    <a:blip r:embed="rId8"/>
                    <a:stretch>
                      <a:fillRect/>
                    </a:stretch>
                  </pic:blipFill>
                  <pic:spPr>
                    <a:xfrm>
                      <a:off x="0" y="0"/>
                      <a:ext cx="5269230" cy="4028440"/>
                    </a:xfrm>
                    <a:prstGeom prst="rect">
                      <a:avLst/>
                    </a:prstGeom>
                  </pic:spPr>
                </pic:pic>
              </a:graphicData>
            </a:graphic>
          </wp:inline>
        </w:drawing>
      </w:r>
    </w:p>
    <w:p w14:paraId="7202547D">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6690" cy="8531860"/>
            <wp:effectExtent l="0" t="0" r="10160" b="2540"/>
            <wp:docPr id="6" name="图片 6" descr="1695175354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95175354503"/>
                    <pic:cNvPicPr>
                      <a:picLocks noChangeAspect="1"/>
                    </pic:cNvPicPr>
                  </pic:nvPicPr>
                  <pic:blipFill>
                    <a:blip r:embed="rId9"/>
                    <a:stretch>
                      <a:fillRect/>
                    </a:stretch>
                  </pic:blipFill>
                  <pic:spPr>
                    <a:xfrm>
                      <a:off x="0" y="0"/>
                      <a:ext cx="5266690" cy="8531860"/>
                    </a:xfrm>
                    <a:prstGeom prst="rect">
                      <a:avLst/>
                    </a:prstGeom>
                  </pic:spPr>
                </pic:pic>
              </a:graphicData>
            </a:graphic>
          </wp:inline>
        </w:drawing>
      </w:r>
    </w:p>
    <w:p w14:paraId="15227183">
      <w:pPr>
        <w:pStyle w:val="3"/>
        <w:rPr>
          <w:rFonts w:hint="eastAsia" w:eastAsia="宋体"/>
          <w:szCs w:val="30"/>
          <w:lang w:eastAsia="zh-CN"/>
        </w:rPr>
      </w:pPr>
      <w:r>
        <w:rPr>
          <w:rFonts w:hint="eastAsia" w:eastAsia="宋体"/>
          <w:szCs w:val="30"/>
          <w:lang w:eastAsia="zh-CN"/>
        </w:rPr>
        <w:drawing>
          <wp:inline distT="0" distB="0" distL="114300" distR="114300">
            <wp:extent cx="5266690" cy="1831340"/>
            <wp:effectExtent l="0" t="0" r="10160" b="16510"/>
            <wp:docPr id="7" name="图片 7" descr="1695175417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95175417805"/>
                    <pic:cNvPicPr>
                      <a:picLocks noChangeAspect="1"/>
                    </pic:cNvPicPr>
                  </pic:nvPicPr>
                  <pic:blipFill>
                    <a:blip r:embed="rId10"/>
                    <a:stretch>
                      <a:fillRect/>
                    </a:stretch>
                  </pic:blipFill>
                  <pic:spPr>
                    <a:xfrm>
                      <a:off x="0" y="0"/>
                      <a:ext cx="5266690" cy="1831340"/>
                    </a:xfrm>
                    <a:prstGeom prst="rect">
                      <a:avLst/>
                    </a:prstGeom>
                  </pic:spPr>
                </pic:pic>
              </a:graphicData>
            </a:graphic>
          </wp:inline>
        </w:drawing>
      </w:r>
    </w:p>
    <w:p w14:paraId="04149D81">
      <w:pPr>
        <w:pStyle w:val="2"/>
        <w:rPr>
          <w:rFonts w:hint="eastAsia" w:eastAsia="宋体"/>
          <w:szCs w:val="30"/>
          <w:lang w:eastAsia="zh-CN"/>
        </w:rPr>
      </w:pPr>
      <w:r>
        <w:rPr>
          <w:rFonts w:hint="eastAsia"/>
          <w:szCs w:val="30"/>
          <w:lang w:eastAsia="zh-CN"/>
        </w:rPr>
        <w:t>说明：本</w:t>
      </w:r>
      <w:r>
        <w:rPr>
          <w:rFonts w:hint="eastAsia"/>
          <w:szCs w:val="30"/>
          <w:lang w:val="en-US" w:eastAsia="zh-CN"/>
        </w:rPr>
        <w:t>单位</w:t>
      </w:r>
      <w:r>
        <w:rPr>
          <w:rFonts w:hint="eastAsia"/>
          <w:szCs w:val="30"/>
          <w:lang w:eastAsia="zh-CN"/>
        </w:rPr>
        <w:t>无政府性基金预算财政拨款收入</w:t>
      </w:r>
      <w:r>
        <w:rPr>
          <w:rFonts w:hint="eastAsia"/>
          <w:szCs w:val="30"/>
          <w:lang w:val="en-US" w:eastAsia="zh-CN"/>
        </w:rPr>
        <w:t>支出情况</w:t>
      </w:r>
    </w:p>
    <w:p w14:paraId="7355629D">
      <w:pPr>
        <w:pStyle w:val="3"/>
        <w:rPr>
          <w:rFonts w:hint="eastAsia" w:eastAsia="宋体"/>
          <w:szCs w:val="30"/>
          <w:lang w:eastAsia="zh-CN"/>
        </w:rPr>
      </w:pPr>
    </w:p>
    <w:p w14:paraId="560E7056">
      <w:pPr>
        <w:pStyle w:val="3"/>
        <w:rPr>
          <w:rFonts w:hint="eastAsia" w:eastAsia="宋体"/>
          <w:szCs w:val="30"/>
          <w:lang w:eastAsia="zh-CN"/>
        </w:rPr>
      </w:pPr>
    </w:p>
    <w:p w14:paraId="74B7148B">
      <w:pPr>
        <w:pStyle w:val="3"/>
        <w:rPr>
          <w:rFonts w:hint="eastAsia" w:eastAsia="宋体"/>
          <w:szCs w:val="30"/>
          <w:lang w:eastAsia="zh-CN"/>
        </w:rPr>
      </w:pPr>
    </w:p>
    <w:p w14:paraId="7089C52E">
      <w:pPr>
        <w:pStyle w:val="3"/>
        <w:rPr>
          <w:rFonts w:hint="eastAsia" w:eastAsia="宋体"/>
          <w:szCs w:val="30"/>
          <w:lang w:eastAsia="zh-CN"/>
        </w:rPr>
      </w:pPr>
    </w:p>
    <w:p w14:paraId="35FB0DE1">
      <w:pPr>
        <w:pStyle w:val="3"/>
        <w:rPr>
          <w:rFonts w:hint="eastAsia" w:eastAsia="宋体"/>
          <w:szCs w:val="30"/>
          <w:lang w:eastAsia="zh-CN"/>
        </w:rPr>
      </w:pPr>
      <w:r>
        <w:rPr>
          <w:rFonts w:hint="eastAsia" w:eastAsia="宋体"/>
          <w:szCs w:val="30"/>
          <w:lang w:eastAsia="zh-CN"/>
        </w:rPr>
        <w:drawing>
          <wp:inline distT="0" distB="0" distL="114300" distR="114300">
            <wp:extent cx="5272405" cy="2749550"/>
            <wp:effectExtent l="0" t="0" r="4445" b="12700"/>
            <wp:docPr id="8" name="图片 8" descr="169517544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95175441200"/>
                    <pic:cNvPicPr>
                      <a:picLocks noChangeAspect="1"/>
                    </pic:cNvPicPr>
                  </pic:nvPicPr>
                  <pic:blipFill>
                    <a:blip r:embed="rId11"/>
                    <a:stretch>
                      <a:fillRect/>
                    </a:stretch>
                  </pic:blipFill>
                  <pic:spPr>
                    <a:xfrm>
                      <a:off x="0" y="0"/>
                      <a:ext cx="5272405" cy="2749550"/>
                    </a:xfrm>
                    <a:prstGeom prst="rect">
                      <a:avLst/>
                    </a:prstGeom>
                  </pic:spPr>
                </pic:pic>
              </a:graphicData>
            </a:graphic>
          </wp:inline>
        </w:drawing>
      </w:r>
    </w:p>
    <w:p w14:paraId="226DDC12">
      <w:pPr>
        <w:autoSpaceDE w:val="0"/>
        <w:autoSpaceDN w:val="0"/>
        <w:adjustRightInd w:val="0"/>
        <w:spacing w:line="360" w:lineRule="auto"/>
        <w:jc w:val="left"/>
        <w:rPr>
          <w:rFonts w:hint="eastAsia"/>
          <w:szCs w:val="22"/>
          <w:lang w:val="en-US"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无国有资本经营预算财政拨款支出</w:t>
      </w:r>
      <w:r>
        <w:rPr>
          <w:rFonts w:hint="eastAsia"/>
          <w:szCs w:val="22"/>
          <w:lang w:val="en-US" w:eastAsia="zh-CN"/>
        </w:rPr>
        <w:t>情况</w:t>
      </w:r>
    </w:p>
    <w:p w14:paraId="42D6A268">
      <w:pPr>
        <w:pStyle w:val="2"/>
        <w:rPr>
          <w:rFonts w:hint="eastAsia"/>
          <w:lang w:eastAsia="zh-CN"/>
        </w:rPr>
      </w:pPr>
      <w:r>
        <w:rPr>
          <w:rFonts w:hint="eastAsia"/>
          <w:lang w:eastAsia="zh-CN"/>
        </w:rPr>
        <w:drawing>
          <wp:inline distT="0" distB="0" distL="114300" distR="114300">
            <wp:extent cx="5273040" cy="4688840"/>
            <wp:effectExtent l="0" t="0" r="3810" b="16510"/>
            <wp:docPr id="9" name="图片 9" descr="1695175484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95175484824"/>
                    <pic:cNvPicPr>
                      <a:picLocks noChangeAspect="1"/>
                    </pic:cNvPicPr>
                  </pic:nvPicPr>
                  <pic:blipFill>
                    <a:blip r:embed="rId12"/>
                    <a:stretch>
                      <a:fillRect/>
                    </a:stretch>
                  </pic:blipFill>
                  <pic:spPr>
                    <a:xfrm>
                      <a:off x="0" y="0"/>
                      <a:ext cx="5273040" cy="4688840"/>
                    </a:xfrm>
                    <a:prstGeom prst="rect">
                      <a:avLst/>
                    </a:prstGeom>
                  </pic:spPr>
                </pic:pic>
              </a:graphicData>
            </a:graphic>
          </wp:inline>
        </w:drawing>
      </w:r>
    </w:p>
    <w:p w14:paraId="00230C3D">
      <w:pPr>
        <w:pStyle w:val="2"/>
        <w:rPr>
          <w:rFonts w:hint="eastAsia"/>
          <w:lang w:eastAsia="zh-CN"/>
        </w:rPr>
      </w:pPr>
      <w:r>
        <w:rPr>
          <w:rFonts w:hint="eastAsia"/>
          <w:lang w:val="en-US" w:eastAsia="zh-CN"/>
        </w:rPr>
        <w:t>说明：本单位无一般公共预算财政拨款“三公”经费支出情况</w:t>
      </w:r>
    </w:p>
    <w:p w14:paraId="2A60D152">
      <w:pPr>
        <w:autoSpaceDE w:val="0"/>
        <w:autoSpaceDN w:val="0"/>
        <w:adjustRightInd w:val="0"/>
        <w:spacing w:line="360" w:lineRule="auto"/>
        <w:jc w:val="center"/>
        <w:rPr>
          <w:rFonts w:hint="eastAsia" w:eastAsia="宋体"/>
          <w:szCs w:val="30"/>
          <w:lang w:eastAsia="zh-CN"/>
        </w:rPr>
      </w:pPr>
      <w:r>
        <w:rPr>
          <w:rFonts w:hint="eastAsia" w:eastAsia="宋体"/>
          <w:szCs w:val="30"/>
          <w:lang w:eastAsia="zh-CN"/>
        </w:rPr>
        <w:drawing>
          <wp:inline distT="0" distB="0" distL="114300" distR="114300">
            <wp:extent cx="5269230" cy="3066415"/>
            <wp:effectExtent l="0" t="0" r="7620" b="635"/>
            <wp:docPr id="10" name="图片 10" descr="1695175527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95175527555"/>
                    <pic:cNvPicPr>
                      <a:picLocks noChangeAspect="1"/>
                    </pic:cNvPicPr>
                  </pic:nvPicPr>
                  <pic:blipFill>
                    <a:blip r:embed="rId13"/>
                    <a:stretch>
                      <a:fillRect/>
                    </a:stretch>
                  </pic:blipFill>
                  <pic:spPr>
                    <a:xfrm>
                      <a:off x="0" y="0"/>
                      <a:ext cx="5269230" cy="3066415"/>
                    </a:xfrm>
                    <a:prstGeom prst="rect">
                      <a:avLst/>
                    </a:prstGeom>
                  </pic:spPr>
                </pic:pic>
              </a:graphicData>
            </a:graphic>
          </wp:inline>
        </w:drawing>
      </w:r>
    </w:p>
    <w:p w14:paraId="1E5F7A01">
      <w:pPr>
        <w:autoSpaceDE w:val="0"/>
        <w:autoSpaceDN w:val="0"/>
        <w:adjustRightInd w:val="0"/>
        <w:spacing w:line="360" w:lineRule="auto"/>
        <w:jc w:val="left"/>
        <w:rPr>
          <w:rFonts w:hint="default" w:eastAsia="宋体"/>
          <w:szCs w:val="22"/>
          <w:lang w:val="en-US"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w:t>
      </w:r>
      <w:r>
        <w:rPr>
          <w:rFonts w:hint="eastAsia"/>
          <w:szCs w:val="22"/>
          <w:lang w:val="en-US" w:eastAsia="zh-CN"/>
        </w:rPr>
        <w:t>资产占用情况</w:t>
      </w:r>
    </w:p>
    <w:p w14:paraId="2E76AFE4">
      <w:pPr>
        <w:widowControl/>
        <w:spacing w:line="600" w:lineRule="exact"/>
        <w:ind w:firstLine="640"/>
        <w:jc w:val="center"/>
        <w:rPr>
          <w:rFonts w:hint="eastAsia" w:ascii="宋体" w:hAnsi="宋体"/>
          <w:b/>
          <w:sz w:val="36"/>
          <w:szCs w:val="36"/>
        </w:rPr>
      </w:pPr>
    </w:p>
    <w:p w14:paraId="71AEC912">
      <w:pPr>
        <w:widowControl/>
        <w:spacing w:line="600" w:lineRule="exact"/>
        <w:jc w:val="center"/>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第三部分  202</w:t>
      </w:r>
      <w:r>
        <w:rPr>
          <w:rFonts w:hint="eastAsia" w:ascii="方正小标宋简体" w:hAnsi="方正小标宋简体" w:eastAsia="方正小标宋简体" w:cs="方正小标宋简体"/>
          <w:b w:val="0"/>
          <w:bCs/>
          <w:color w:val="auto"/>
          <w:sz w:val="44"/>
          <w:szCs w:val="44"/>
          <w:lang w:val="en-US" w:eastAsia="zh-CN"/>
        </w:rPr>
        <w:t>2</w:t>
      </w:r>
      <w:r>
        <w:rPr>
          <w:rFonts w:hint="eastAsia" w:ascii="方正小标宋简体" w:hAnsi="方正小标宋简体" w:eastAsia="方正小标宋简体" w:cs="方正小标宋简体"/>
          <w:b w:val="0"/>
          <w:bCs/>
          <w:color w:val="auto"/>
          <w:sz w:val="44"/>
          <w:szCs w:val="44"/>
        </w:rPr>
        <w:t>年度</w:t>
      </w:r>
      <w:r>
        <w:rPr>
          <w:rFonts w:hint="eastAsia" w:ascii="方正小标宋简体" w:hAnsi="方正小标宋简体" w:eastAsia="方正小标宋简体" w:cs="方正小标宋简体"/>
          <w:b w:val="0"/>
          <w:bCs/>
          <w:color w:val="auto"/>
          <w:sz w:val="44"/>
          <w:szCs w:val="44"/>
          <w:lang w:val="en-US" w:eastAsia="zh-CN"/>
        </w:rPr>
        <w:t>单位</w:t>
      </w:r>
      <w:r>
        <w:rPr>
          <w:rFonts w:hint="eastAsia" w:ascii="方正小标宋简体" w:hAnsi="方正小标宋简体" w:eastAsia="方正小标宋简体" w:cs="方正小标宋简体"/>
          <w:b w:val="0"/>
          <w:bCs/>
          <w:color w:val="auto"/>
          <w:sz w:val="44"/>
          <w:szCs w:val="44"/>
        </w:rPr>
        <w:t>决算情况说明</w:t>
      </w:r>
    </w:p>
    <w:p w14:paraId="27BF57A1">
      <w:pPr>
        <w:ind w:firstLine="630"/>
        <w:jc w:val="left"/>
        <w:rPr>
          <w:rFonts w:hint="eastAsia" w:ascii="仿宋" w:hAnsi="仿宋" w:eastAsia="仿宋"/>
          <w:sz w:val="32"/>
          <w:szCs w:val="32"/>
        </w:rPr>
      </w:pPr>
    </w:p>
    <w:p w14:paraId="6C83BE67">
      <w:pPr>
        <w:ind w:firstLine="630"/>
        <w:jc w:val="left"/>
        <w:rPr>
          <w:rFonts w:hint="eastAsia" w:ascii="黑体" w:hAnsi="黑体" w:eastAsia="黑体"/>
          <w:sz w:val="32"/>
          <w:szCs w:val="32"/>
        </w:rPr>
      </w:pPr>
      <w:r>
        <w:rPr>
          <w:rFonts w:hint="eastAsia" w:ascii="黑体" w:hAnsi="黑体" w:eastAsia="黑体"/>
          <w:sz w:val="32"/>
          <w:szCs w:val="32"/>
        </w:rPr>
        <w:t>一、收入决算情况说明</w:t>
      </w:r>
    </w:p>
    <w:p w14:paraId="06CDA142">
      <w:pPr>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rPr>
        <w:t>本</w:t>
      </w:r>
      <w:r>
        <w:rPr>
          <w:rFonts w:hint="eastAsia" w:ascii="仿宋" w:hAnsi="仿宋" w:eastAsia="仿宋"/>
          <w:sz w:val="32"/>
          <w:szCs w:val="32"/>
          <w:lang w:eastAsia="zh-CN"/>
        </w:rPr>
        <w:t>单位2022</w:t>
      </w:r>
      <w:r>
        <w:rPr>
          <w:rFonts w:hint="eastAsia" w:ascii="仿宋" w:hAnsi="仿宋" w:eastAsia="仿宋"/>
          <w:sz w:val="32"/>
          <w:szCs w:val="32"/>
        </w:rPr>
        <w:t>年度收入总计</w:t>
      </w:r>
      <w:r>
        <w:rPr>
          <w:rFonts w:hint="eastAsia" w:ascii="仿宋" w:hAnsi="仿宋" w:eastAsia="仿宋"/>
          <w:sz w:val="32"/>
          <w:szCs w:val="32"/>
          <w:lang w:val="en-US" w:eastAsia="zh-CN"/>
        </w:rPr>
        <w:t>543.93</w:t>
      </w:r>
      <w:r>
        <w:rPr>
          <w:rFonts w:hint="eastAsia" w:ascii="仿宋" w:hAnsi="仿宋" w:eastAsia="仿宋"/>
          <w:sz w:val="32"/>
          <w:szCs w:val="32"/>
        </w:rPr>
        <w:t>万元，</w:t>
      </w:r>
      <w:r>
        <w:rPr>
          <w:rFonts w:hint="eastAsia" w:ascii="仿宋_GB2312" w:hAnsi="仿宋_GB2312" w:eastAsia="仿宋_GB2312"/>
          <w:color w:val="auto"/>
          <w:sz w:val="32"/>
          <w:szCs w:val="32"/>
        </w:rPr>
        <w:t>较</w:t>
      </w:r>
      <w:r>
        <w:rPr>
          <w:rFonts w:hint="eastAsia" w:ascii="仿宋_GB2312" w:hAnsi="仿宋_GB2312" w:eastAsia="仿宋_GB2312"/>
          <w:color w:val="auto"/>
          <w:sz w:val="32"/>
          <w:szCs w:val="32"/>
          <w:lang w:val="en-US" w:eastAsia="zh-CN"/>
        </w:rPr>
        <w:t>2021</w:t>
      </w:r>
      <w:r>
        <w:rPr>
          <w:rFonts w:hint="eastAsia" w:ascii="仿宋_GB2312" w:hAnsi="仿宋_GB2312" w:eastAsia="仿宋_GB2312"/>
          <w:color w:val="auto"/>
          <w:sz w:val="32"/>
          <w:szCs w:val="32"/>
        </w:rPr>
        <w:t>年增加</w:t>
      </w:r>
      <w:r>
        <w:rPr>
          <w:rFonts w:hint="eastAsia" w:ascii="仿宋_GB2312" w:hAnsi="仿宋_GB2312" w:eastAsia="仿宋_GB2312"/>
          <w:color w:val="auto"/>
          <w:sz w:val="32"/>
          <w:szCs w:val="32"/>
          <w:lang w:val="en-US" w:eastAsia="zh-CN"/>
        </w:rPr>
        <w:t>210.68</w:t>
      </w:r>
      <w:r>
        <w:rPr>
          <w:rFonts w:hint="eastAsia" w:ascii="仿宋_GB2312" w:hAnsi="仿宋_GB2312" w:eastAsia="仿宋_GB2312"/>
          <w:color w:val="auto"/>
          <w:sz w:val="32"/>
          <w:szCs w:val="32"/>
        </w:rPr>
        <w:t>万元</w:t>
      </w:r>
      <w:r>
        <w:rPr>
          <w:rFonts w:hint="eastAsia" w:ascii="仿宋_GB2312" w:hAnsi="仿宋_GB2312" w:eastAsia="仿宋_GB2312"/>
          <w:color w:val="auto"/>
          <w:sz w:val="32"/>
          <w:szCs w:val="32"/>
          <w:lang w:eastAsia="zh-CN"/>
        </w:rPr>
        <w:t>。</w:t>
      </w:r>
      <w:r>
        <w:rPr>
          <w:rFonts w:hint="eastAsia" w:ascii="仿宋" w:hAnsi="仿宋" w:eastAsia="仿宋"/>
          <w:sz w:val="32"/>
          <w:szCs w:val="32"/>
        </w:rPr>
        <w:t>其中年初结转和结余</w:t>
      </w:r>
      <w:r>
        <w:rPr>
          <w:rFonts w:hint="eastAsia" w:ascii="仿宋" w:hAnsi="仿宋" w:eastAsia="仿宋"/>
          <w:sz w:val="32"/>
          <w:szCs w:val="32"/>
          <w:lang w:val="en-US" w:eastAsia="zh-CN"/>
        </w:rPr>
        <w:t>66.86</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增加26.98万元</w:t>
      </w:r>
      <w:r>
        <w:rPr>
          <w:rFonts w:hint="eastAsia" w:ascii="仿宋" w:hAnsi="仿宋" w:eastAsia="仿宋"/>
          <w:sz w:val="32"/>
          <w:szCs w:val="32"/>
        </w:rPr>
        <w:t>；本年收入合计</w:t>
      </w:r>
      <w:r>
        <w:rPr>
          <w:rFonts w:hint="eastAsia" w:ascii="仿宋" w:hAnsi="仿宋" w:eastAsia="仿宋"/>
          <w:sz w:val="32"/>
          <w:szCs w:val="32"/>
          <w:lang w:val="en-US" w:eastAsia="zh-CN"/>
        </w:rPr>
        <w:t>477.07</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增加183.7万元</w:t>
      </w:r>
      <w:r>
        <w:rPr>
          <w:rFonts w:hint="eastAsia" w:ascii="仿宋" w:hAnsi="仿宋" w:eastAsia="仿宋"/>
          <w:sz w:val="32"/>
          <w:szCs w:val="32"/>
        </w:rPr>
        <w:t>，</w:t>
      </w:r>
      <w:r>
        <w:rPr>
          <w:rFonts w:hint="eastAsia" w:ascii="仿宋" w:hAnsi="仿宋" w:eastAsia="仿宋"/>
          <w:sz w:val="32"/>
          <w:szCs w:val="32"/>
          <w:lang w:val="en-US" w:eastAsia="zh-CN"/>
        </w:rPr>
        <w:t>增长62.6%，</w:t>
      </w:r>
      <w:r>
        <w:rPr>
          <w:rFonts w:hint="eastAsia" w:ascii="仿宋" w:hAnsi="仿宋" w:eastAsia="仿宋"/>
          <w:sz w:val="32"/>
          <w:szCs w:val="32"/>
        </w:rPr>
        <w:t>主要原因是：</w:t>
      </w:r>
      <w:r>
        <w:rPr>
          <w:rFonts w:hint="eastAsia" w:ascii="仿宋" w:hAnsi="仿宋" w:eastAsia="仿宋"/>
          <w:sz w:val="32"/>
          <w:szCs w:val="32"/>
          <w:lang w:val="en-US" w:eastAsia="zh-CN"/>
        </w:rPr>
        <w:t>新增本级专项及上级转移支付资金收入。</w:t>
      </w:r>
    </w:p>
    <w:p w14:paraId="1D5B87E6">
      <w:pPr>
        <w:ind w:firstLine="630"/>
        <w:jc w:val="left"/>
        <w:rPr>
          <w:rFonts w:hint="eastAsia" w:ascii="仿宋" w:hAnsi="仿宋" w:eastAsia="仿宋"/>
          <w:sz w:val="32"/>
          <w:szCs w:val="32"/>
        </w:rPr>
      </w:pPr>
      <w:r>
        <w:rPr>
          <w:rFonts w:hint="eastAsia" w:ascii="仿宋" w:hAnsi="仿宋" w:eastAsia="仿宋"/>
          <w:sz w:val="32"/>
          <w:szCs w:val="32"/>
        </w:rPr>
        <w:t>本年收入的具体构成为：财政拨款收入</w:t>
      </w:r>
      <w:r>
        <w:rPr>
          <w:rFonts w:hint="eastAsia" w:ascii="仿宋" w:hAnsi="仿宋" w:eastAsia="仿宋"/>
          <w:sz w:val="32"/>
          <w:szCs w:val="32"/>
          <w:lang w:val="en-US" w:eastAsia="zh-CN"/>
        </w:rPr>
        <w:t>461.41</w:t>
      </w:r>
      <w:r>
        <w:rPr>
          <w:rFonts w:hint="eastAsia" w:ascii="仿宋" w:hAnsi="仿宋" w:eastAsia="仿宋"/>
          <w:sz w:val="32"/>
          <w:szCs w:val="32"/>
        </w:rPr>
        <w:t>万元，占</w:t>
      </w:r>
      <w:r>
        <w:rPr>
          <w:rFonts w:hint="eastAsia" w:ascii="仿宋" w:hAnsi="仿宋" w:eastAsia="仿宋"/>
          <w:sz w:val="32"/>
          <w:szCs w:val="32"/>
          <w:lang w:val="en-US" w:eastAsia="zh-CN"/>
        </w:rPr>
        <w:t>96.7</w:t>
      </w:r>
      <w:r>
        <w:rPr>
          <w:rFonts w:hint="eastAsia" w:ascii="仿宋" w:hAnsi="仿宋" w:eastAsia="仿宋"/>
          <w:sz w:val="32"/>
          <w:szCs w:val="32"/>
        </w:rPr>
        <w:t>%；事业收入</w:t>
      </w:r>
      <w:r>
        <w:rPr>
          <w:rFonts w:hint="eastAsia" w:ascii="仿宋" w:hAnsi="仿宋" w:eastAsia="仿宋"/>
          <w:sz w:val="32"/>
          <w:szCs w:val="32"/>
          <w:lang w:val="en-US" w:eastAsia="zh-CN"/>
        </w:rPr>
        <w:t>0万</w:t>
      </w:r>
      <w:r>
        <w:rPr>
          <w:rFonts w:hint="eastAsia" w:ascii="仿宋" w:hAnsi="仿宋" w:eastAsia="仿宋"/>
          <w:sz w:val="32"/>
          <w:szCs w:val="32"/>
        </w:rPr>
        <w:t>元，占</w:t>
      </w:r>
      <w:r>
        <w:rPr>
          <w:rFonts w:hint="eastAsia" w:ascii="仿宋" w:hAnsi="仿宋" w:eastAsia="仿宋"/>
          <w:sz w:val="32"/>
          <w:szCs w:val="32"/>
          <w:lang w:val="en-US" w:eastAsia="zh-CN"/>
        </w:rPr>
        <w:t>0</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%；其他收入</w:t>
      </w:r>
      <w:r>
        <w:rPr>
          <w:rFonts w:hint="eastAsia" w:ascii="仿宋" w:hAnsi="仿宋" w:eastAsia="仿宋"/>
          <w:sz w:val="32"/>
          <w:szCs w:val="32"/>
          <w:lang w:val="en-US" w:eastAsia="zh-CN"/>
        </w:rPr>
        <w:t>13.66</w:t>
      </w:r>
      <w:r>
        <w:rPr>
          <w:rFonts w:hint="eastAsia" w:ascii="仿宋" w:hAnsi="仿宋" w:eastAsia="仿宋"/>
          <w:sz w:val="32"/>
          <w:szCs w:val="32"/>
        </w:rPr>
        <w:t>万元，占</w:t>
      </w:r>
      <w:r>
        <w:rPr>
          <w:rFonts w:hint="eastAsia" w:ascii="仿宋" w:hAnsi="仿宋" w:eastAsia="仿宋"/>
          <w:sz w:val="32"/>
          <w:szCs w:val="32"/>
          <w:lang w:val="en-US" w:eastAsia="zh-CN"/>
        </w:rPr>
        <w:t>3.3</w:t>
      </w:r>
      <w:r>
        <w:rPr>
          <w:rFonts w:hint="eastAsia" w:ascii="仿宋" w:hAnsi="仿宋" w:eastAsia="仿宋"/>
          <w:sz w:val="32"/>
          <w:szCs w:val="32"/>
        </w:rPr>
        <w:t xml:space="preserve">%。  </w:t>
      </w:r>
    </w:p>
    <w:p w14:paraId="3622B288">
      <w:pPr>
        <w:ind w:firstLine="630"/>
        <w:jc w:val="left"/>
        <w:rPr>
          <w:rFonts w:hint="eastAsia" w:ascii="黑体" w:hAnsi="黑体" w:eastAsia="黑体"/>
          <w:sz w:val="32"/>
          <w:szCs w:val="32"/>
        </w:rPr>
      </w:pPr>
      <w:r>
        <w:rPr>
          <w:rFonts w:hint="eastAsia" w:ascii="黑体" w:hAnsi="黑体" w:eastAsia="黑体"/>
          <w:sz w:val="32"/>
          <w:szCs w:val="32"/>
        </w:rPr>
        <w:t>二、支出决算情况说明</w:t>
      </w:r>
    </w:p>
    <w:p w14:paraId="2604E3A7">
      <w:pPr>
        <w:ind w:firstLine="630"/>
        <w:jc w:val="left"/>
        <w:rPr>
          <w:rFonts w:hint="eastAsia" w:ascii="仿宋" w:hAnsi="仿宋" w:eastAsia="仿宋"/>
          <w:sz w:val="32"/>
          <w:szCs w:val="32"/>
        </w:rPr>
      </w:pPr>
      <w:r>
        <w:rPr>
          <w:rFonts w:hint="eastAsia" w:ascii="仿宋" w:hAnsi="仿宋" w:eastAsia="仿宋"/>
          <w:sz w:val="32"/>
          <w:szCs w:val="32"/>
        </w:rPr>
        <w:t>本</w:t>
      </w:r>
      <w:r>
        <w:rPr>
          <w:rFonts w:hint="eastAsia" w:ascii="仿宋" w:hAnsi="仿宋" w:eastAsia="仿宋"/>
          <w:sz w:val="32"/>
          <w:szCs w:val="32"/>
          <w:lang w:eastAsia="zh-CN"/>
        </w:rPr>
        <w:t>单位2022</w:t>
      </w:r>
      <w:r>
        <w:rPr>
          <w:rFonts w:hint="eastAsia" w:ascii="仿宋" w:hAnsi="仿宋" w:eastAsia="仿宋"/>
          <w:sz w:val="32"/>
          <w:szCs w:val="32"/>
        </w:rPr>
        <w:t>年度支出总计</w:t>
      </w:r>
      <w:r>
        <w:rPr>
          <w:rFonts w:hint="eastAsia" w:ascii="仿宋" w:hAnsi="仿宋" w:eastAsia="仿宋"/>
          <w:sz w:val="32"/>
          <w:szCs w:val="32"/>
          <w:lang w:val="en-US" w:eastAsia="zh-CN"/>
        </w:rPr>
        <w:t>543.93</w:t>
      </w:r>
      <w:r>
        <w:rPr>
          <w:rFonts w:hint="eastAsia" w:ascii="仿宋" w:hAnsi="仿宋" w:eastAsia="仿宋"/>
          <w:sz w:val="32"/>
          <w:szCs w:val="32"/>
        </w:rPr>
        <w:t>元，</w:t>
      </w:r>
      <w:r>
        <w:rPr>
          <w:rFonts w:hint="eastAsia" w:ascii="仿宋_GB2312" w:hAnsi="仿宋_GB2312" w:eastAsia="仿宋_GB2312"/>
          <w:color w:val="auto"/>
          <w:sz w:val="32"/>
          <w:szCs w:val="32"/>
        </w:rPr>
        <w:t>较</w:t>
      </w:r>
      <w:r>
        <w:rPr>
          <w:rFonts w:hint="eastAsia" w:ascii="仿宋_GB2312" w:hAnsi="仿宋_GB2312" w:eastAsia="仿宋_GB2312"/>
          <w:color w:val="auto"/>
          <w:sz w:val="32"/>
          <w:szCs w:val="32"/>
          <w:lang w:val="en-US" w:eastAsia="zh-CN"/>
        </w:rPr>
        <w:t>2021</w:t>
      </w:r>
      <w:r>
        <w:rPr>
          <w:rFonts w:hint="eastAsia" w:ascii="仿宋_GB2312" w:hAnsi="仿宋_GB2312" w:eastAsia="仿宋_GB2312"/>
          <w:color w:val="auto"/>
          <w:sz w:val="32"/>
          <w:szCs w:val="32"/>
        </w:rPr>
        <w:t>年增加</w:t>
      </w:r>
      <w:r>
        <w:rPr>
          <w:rFonts w:hint="eastAsia" w:ascii="仿宋_GB2312" w:hAnsi="仿宋_GB2312" w:eastAsia="仿宋_GB2312"/>
          <w:color w:val="auto"/>
          <w:sz w:val="32"/>
          <w:szCs w:val="32"/>
          <w:lang w:val="en-US" w:eastAsia="zh-CN"/>
        </w:rPr>
        <w:t>210.68</w:t>
      </w:r>
      <w:r>
        <w:rPr>
          <w:rFonts w:hint="eastAsia" w:ascii="仿宋_GB2312" w:hAnsi="仿宋_GB2312" w:eastAsia="仿宋_GB2312"/>
          <w:color w:val="auto"/>
          <w:sz w:val="32"/>
          <w:szCs w:val="32"/>
        </w:rPr>
        <w:t>万元</w:t>
      </w:r>
      <w:r>
        <w:rPr>
          <w:rFonts w:hint="eastAsia" w:ascii="仿宋_GB2312" w:hAnsi="仿宋_GB2312" w:eastAsia="仿宋_GB2312"/>
          <w:color w:val="auto"/>
          <w:sz w:val="32"/>
          <w:szCs w:val="32"/>
          <w:lang w:eastAsia="zh-CN"/>
        </w:rPr>
        <w:t>。</w:t>
      </w:r>
      <w:r>
        <w:rPr>
          <w:rFonts w:hint="eastAsia" w:ascii="仿宋" w:hAnsi="仿宋" w:eastAsia="仿宋"/>
          <w:sz w:val="32"/>
          <w:szCs w:val="32"/>
        </w:rPr>
        <w:t>其中本年支出合计</w:t>
      </w:r>
      <w:r>
        <w:rPr>
          <w:rFonts w:hint="eastAsia" w:ascii="仿宋" w:hAnsi="仿宋" w:eastAsia="仿宋"/>
          <w:sz w:val="32"/>
          <w:szCs w:val="32"/>
          <w:lang w:val="en-US" w:eastAsia="zh-CN"/>
        </w:rPr>
        <w:t>514.08</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增加247.68万元</w:t>
      </w:r>
      <w:r>
        <w:rPr>
          <w:rFonts w:hint="eastAsia" w:ascii="仿宋" w:hAnsi="仿宋" w:eastAsia="仿宋"/>
          <w:sz w:val="32"/>
          <w:szCs w:val="32"/>
        </w:rPr>
        <w:t>，</w:t>
      </w:r>
      <w:r>
        <w:rPr>
          <w:rFonts w:hint="eastAsia" w:ascii="仿宋" w:hAnsi="仿宋" w:eastAsia="仿宋"/>
          <w:sz w:val="32"/>
          <w:szCs w:val="32"/>
          <w:lang w:val="en-US" w:eastAsia="zh-CN"/>
        </w:rPr>
        <w:t>增长92.9%，</w:t>
      </w:r>
      <w:r>
        <w:rPr>
          <w:rFonts w:hint="eastAsia" w:ascii="仿宋" w:hAnsi="仿宋" w:eastAsia="仿宋"/>
          <w:sz w:val="32"/>
          <w:szCs w:val="32"/>
        </w:rPr>
        <w:t>主要原因是：</w:t>
      </w:r>
      <w:r>
        <w:rPr>
          <w:rFonts w:hint="eastAsia" w:ascii="仿宋" w:hAnsi="仿宋" w:eastAsia="仿宋"/>
          <w:sz w:val="32"/>
          <w:szCs w:val="32"/>
          <w:lang w:val="en-US" w:eastAsia="zh-CN"/>
        </w:rPr>
        <w:t>新增本级专项及上级转移支付资金支出</w:t>
      </w:r>
      <w:r>
        <w:rPr>
          <w:rFonts w:hint="eastAsia" w:ascii="仿宋" w:hAnsi="仿宋" w:eastAsia="仿宋"/>
          <w:sz w:val="32"/>
          <w:szCs w:val="32"/>
        </w:rPr>
        <w:t>；年末结转和结余</w:t>
      </w:r>
      <w:r>
        <w:rPr>
          <w:rFonts w:hint="eastAsia" w:ascii="仿宋" w:hAnsi="仿宋" w:eastAsia="仿宋"/>
          <w:sz w:val="32"/>
          <w:szCs w:val="32"/>
          <w:lang w:val="en-US" w:eastAsia="zh-CN"/>
        </w:rPr>
        <w:t>29.84</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减少37.01万元</w:t>
      </w:r>
      <w:r>
        <w:rPr>
          <w:rFonts w:hint="eastAsia" w:ascii="仿宋" w:hAnsi="仿宋" w:eastAsia="仿宋"/>
          <w:sz w:val="32"/>
          <w:szCs w:val="32"/>
        </w:rPr>
        <w:t>，</w:t>
      </w:r>
      <w:r>
        <w:rPr>
          <w:rFonts w:hint="eastAsia" w:ascii="仿宋" w:hAnsi="仿宋" w:eastAsia="仿宋"/>
          <w:sz w:val="32"/>
          <w:szCs w:val="32"/>
          <w:lang w:val="en-US" w:eastAsia="zh-CN"/>
        </w:rPr>
        <w:t>下降55.4%，</w:t>
      </w:r>
      <w:r>
        <w:rPr>
          <w:rFonts w:hint="eastAsia" w:ascii="仿宋" w:hAnsi="仿宋" w:eastAsia="仿宋"/>
          <w:sz w:val="32"/>
          <w:szCs w:val="32"/>
        </w:rPr>
        <w:t>主要原因是：</w:t>
      </w:r>
      <w:r>
        <w:rPr>
          <w:rFonts w:hint="eastAsia" w:ascii="仿宋" w:hAnsi="仿宋" w:eastAsia="仿宋"/>
          <w:sz w:val="32"/>
          <w:szCs w:val="32"/>
          <w:lang w:val="en-US" w:eastAsia="zh-CN"/>
        </w:rPr>
        <w:t>省厅划拨经费及时支出</w:t>
      </w:r>
      <w:r>
        <w:rPr>
          <w:rFonts w:hint="eastAsia" w:ascii="仿宋" w:hAnsi="仿宋" w:eastAsia="仿宋"/>
          <w:sz w:val="32"/>
          <w:szCs w:val="32"/>
        </w:rPr>
        <w:t>。</w:t>
      </w:r>
    </w:p>
    <w:p w14:paraId="0D5419AA">
      <w:pPr>
        <w:ind w:firstLine="630"/>
        <w:jc w:val="left"/>
        <w:rPr>
          <w:rFonts w:hint="eastAsia" w:ascii="仿宋" w:hAnsi="仿宋" w:eastAsia="仿宋"/>
          <w:sz w:val="32"/>
          <w:szCs w:val="32"/>
        </w:rPr>
      </w:pPr>
      <w:r>
        <w:rPr>
          <w:rFonts w:hint="eastAsia" w:ascii="仿宋" w:hAnsi="仿宋" w:eastAsia="仿宋"/>
          <w:sz w:val="32"/>
          <w:szCs w:val="32"/>
        </w:rPr>
        <w:t>本年支出的具体构成为：基本支出</w:t>
      </w:r>
      <w:r>
        <w:rPr>
          <w:rFonts w:hint="eastAsia" w:ascii="仿宋" w:hAnsi="仿宋" w:eastAsia="仿宋"/>
          <w:sz w:val="32"/>
          <w:szCs w:val="32"/>
          <w:lang w:val="en-US" w:eastAsia="zh-CN"/>
        </w:rPr>
        <w:t>304.07</w:t>
      </w:r>
      <w:r>
        <w:rPr>
          <w:rFonts w:hint="eastAsia" w:ascii="仿宋" w:hAnsi="仿宋" w:eastAsia="仿宋"/>
          <w:sz w:val="32"/>
          <w:szCs w:val="32"/>
        </w:rPr>
        <w:t>万元，占</w:t>
      </w:r>
      <w:r>
        <w:rPr>
          <w:rFonts w:hint="eastAsia" w:ascii="仿宋" w:hAnsi="仿宋" w:eastAsia="仿宋"/>
          <w:sz w:val="32"/>
          <w:szCs w:val="32"/>
          <w:lang w:val="en-US" w:eastAsia="zh-CN"/>
        </w:rPr>
        <w:t>59.1</w:t>
      </w:r>
      <w:r>
        <w:rPr>
          <w:rFonts w:hint="eastAsia" w:ascii="仿宋" w:hAnsi="仿宋" w:eastAsia="仿宋"/>
          <w:sz w:val="32"/>
          <w:szCs w:val="32"/>
        </w:rPr>
        <w:t>%；项目支出</w:t>
      </w:r>
      <w:r>
        <w:rPr>
          <w:rFonts w:hint="eastAsia" w:ascii="仿宋" w:hAnsi="仿宋" w:eastAsia="仿宋"/>
          <w:sz w:val="32"/>
          <w:szCs w:val="32"/>
          <w:lang w:val="en-US" w:eastAsia="zh-CN"/>
        </w:rPr>
        <w:t>210.02</w:t>
      </w:r>
      <w:r>
        <w:rPr>
          <w:rFonts w:hint="eastAsia" w:ascii="仿宋" w:hAnsi="仿宋" w:eastAsia="仿宋"/>
          <w:sz w:val="32"/>
          <w:szCs w:val="32"/>
        </w:rPr>
        <w:t>万元，占</w:t>
      </w:r>
      <w:r>
        <w:rPr>
          <w:rFonts w:hint="eastAsia" w:ascii="仿宋" w:hAnsi="仿宋" w:eastAsia="仿宋"/>
          <w:sz w:val="32"/>
          <w:szCs w:val="32"/>
          <w:lang w:val="en-US" w:eastAsia="zh-CN"/>
        </w:rPr>
        <w:t>40.9</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%；其他支出（对附属单位补助支出、上缴上级支出）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75019C16">
      <w:pPr>
        <w:ind w:firstLine="630"/>
        <w:jc w:val="left"/>
        <w:rPr>
          <w:rFonts w:hint="eastAsia" w:ascii="黑体" w:hAnsi="黑体" w:eastAsia="黑体"/>
          <w:sz w:val="32"/>
          <w:szCs w:val="32"/>
        </w:rPr>
      </w:pPr>
      <w:r>
        <w:rPr>
          <w:rFonts w:hint="eastAsia" w:ascii="黑体" w:hAnsi="黑体" w:eastAsia="黑体"/>
          <w:sz w:val="32"/>
          <w:szCs w:val="32"/>
        </w:rPr>
        <w:t>三、财政拨款支出决算情况说明</w:t>
      </w:r>
    </w:p>
    <w:p w14:paraId="1897C8B7">
      <w:pPr>
        <w:ind w:firstLine="630"/>
        <w:jc w:val="left"/>
        <w:rPr>
          <w:rFonts w:hint="eastAsia" w:ascii="仿宋" w:hAnsi="仿宋" w:eastAsia="仿宋"/>
          <w:sz w:val="32"/>
          <w:szCs w:val="32"/>
        </w:rPr>
      </w:pPr>
      <w:r>
        <w:rPr>
          <w:rFonts w:hint="eastAsia" w:ascii="仿宋" w:hAnsi="仿宋" w:eastAsia="仿宋"/>
          <w:sz w:val="32"/>
          <w:szCs w:val="32"/>
        </w:rPr>
        <w:t>本</w:t>
      </w:r>
      <w:r>
        <w:rPr>
          <w:rFonts w:hint="eastAsia" w:ascii="仿宋" w:hAnsi="仿宋" w:eastAsia="仿宋"/>
          <w:sz w:val="32"/>
          <w:szCs w:val="32"/>
          <w:lang w:eastAsia="zh-CN"/>
        </w:rPr>
        <w:t>单位2022</w:t>
      </w:r>
      <w:r>
        <w:rPr>
          <w:rFonts w:hint="eastAsia" w:ascii="仿宋" w:hAnsi="仿宋" w:eastAsia="仿宋"/>
          <w:sz w:val="32"/>
          <w:szCs w:val="32"/>
        </w:rPr>
        <w:t>年度财政拨款本年支出年初预算数为</w:t>
      </w:r>
      <w:r>
        <w:rPr>
          <w:rFonts w:hint="eastAsia" w:ascii="仿宋" w:hAnsi="仿宋" w:eastAsia="仿宋"/>
          <w:sz w:val="32"/>
          <w:szCs w:val="32"/>
          <w:lang w:val="en-US" w:eastAsia="zh-CN"/>
        </w:rPr>
        <w:t>449.69</w:t>
      </w:r>
      <w:r>
        <w:rPr>
          <w:rFonts w:hint="eastAsia" w:ascii="仿宋" w:hAnsi="仿宋" w:eastAsia="仿宋"/>
          <w:sz w:val="32"/>
          <w:szCs w:val="32"/>
        </w:rPr>
        <w:t>万元，决算数为</w:t>
      </w:r>
      <w:r>
        <w:rPr>
          <w:rFonts w:hint="eastAsia" w:ascii="仿宋" w:hAnsi="仿宋" w:eastAsia="仿宋"/>
          <w:sz w:val="32"/>
          <w:szCs w:val="32"/>
          <w:lang w:val="en-US" w:eastAsia="zh-CN"/>
        </w:rPr>
        <w:t>461.41</w:t>
      </w:r>
      <w:r>
        <w:rPr>
          <w:rFonts w:hint="eastAsia" w:ascii="仿宋" w:hAnsi="仿宋" w:eastAsia="仿宋"/>
          <w:sz w:val="32"/>
          <w:szCs w:val="32"/>
        </w:rPr>
        <w:t>万元，其中：</w:t>
      </w:r>
    </w:p>
    <w:p w14:paraId="0B53A93A">
      <w:pPr>
        <w:numPr>
          <w:ilvl w:val="0"/>
          <w:numId w:val="1"/>
        </w:numPr>
        <w:ind w:firstLine="630"/>
        <w:jc w:val="left"/>
        <w:rPr>
          <w:rFonts w:hint="eastAsia" w:ascii="仿宋" w:hAnsi="仿宋" w:eastAsia="仿宋"/>
          <w:sz w:val="32"/>
          <w:szCs w:val="32"/>
          <w:lang w:val="en-US" w:eastAsia="zh-CN"/>
        </w:rPr>
      </w:pPr>
      <w:r>
        <w:rPr>
          <w:rFonts w:hint="eastAsia" w:ascii="仿宋" w:hAnsi="仿宋" w:eastAsia="仿宋"/>
          <w:sz w:val="32"/>
          <w:szCs w:val="32"/>
          <w:lang w:eastAsia="zh-CN"/>
        </w:rPr>
        <w:t>社会保障和就业支出</w:t>
      </w:r>
      <w:r>
        <w:rPr>
          <w:rFonts w:hint="eastAsia" w:ascii="仿宋" w:hAnsi="仿宋" w:eastAsia="仿宋"/>
          <w:sz w:val="32"/>
          <w:szCs w:val="32"/>
        </w:rPr>
        <w:t>年初预算数为</w:t>
      </w:r>
      <w:r>
        <w:rPr>
          <w:rFonts w:hint="eastAsia" w:ascii="仿宋" w:hAnsi="仿宋" w:eastAsia="仿宋"/>
          <w:sz w:val="32"/>
          <w:szCs w:val="32"/>
          <w:lang w:val="en-US" w:eastAsia="zh-CN"/>
        </w:rPr>
        <w:t>417.46</w:t>
      </w:r>
      <w:r>
        <w:rPr>
          <w:rFonts w:hint="eastAsia" w:ascii="仿宋" w:hAnsi="仿宋" w:eastAsia="仿宋"/>
          <w:sz w:val="32"/>
          <w:szCs w:val="32"/>
        </w:rPr>
        <w:t>万元，决算数为</w:t>
      </w:r>
      <w:r>
        <w:rPr>
          <w:rFonts w:hint="eastAsia" w:ascii="仿宋" w:hAnsi="仿宋" w:eastAsia="仿宋"/>
          <w:sz w:val="32"/>
          <w:szCs w:val="32"/>
          <w:lang w:val="en-US" w:eastAsia="zh-CN"/>
        </w:rPr>
        <w:t>429.17</w:t>
      </w:r>
      <w:r>
        <w:rPr>
          <w:rFonts w:hint="eastAsia" w:ascii="仿宋" w:hAnsi="仿宋" w:eastAsia="仿宋"/>
          <w:sz w:val="32"/>
          <w:szCs w:val="32"/>
        </w:rPr>
        <w:t>万元，</w:t>
      </w:r>
      <w:r>
        <w:rPr>
          <w:rFonts w:hint="eastAsia" w:ascii="仿宋" w:hAnsi="仿宋" w:eastAsia="仿宋"/>
          <w:sz w:val="32"/>
          <w:szCs w:val="32"/>
          <w:lang w:val="en-US" w:eastAsia="zh-CN"/>
        </w:rPr>
        <w:t>完成年初预算的102.8%，</w:t>
      </w:r>
      <w:r>
        <w:rPr>
          <w:rFonts w:hint="eastAsia" w:ascii="仿宋" w:hAnsi="仿宋" w:eastAsia="仿宋"/>
          <w:sz w:val="32"/>
          <w:szCs w:val="32"/>
        </w:rPr>
        <w:t>主要原因是：</w:t>
      </w:r>
      <w:r>
        <w:rPr>
          <w:rFonts w:hint="eastAsia" w:ascii="仿宋" w:hAnsi="仿宋" w:eastAsia="仿宋"/>
          <w:sz w:val="32"/>
          <w:szCs w:val="32"/>
          <w:lang w:val="en-US" w:eastAsia="zh-CN"/>
        </w:rPr>
        <w:t>追加拥军支前工作经费。</w:t>
      </w:r>
    </w:p>
    <w:p w14:paraId="4040E628">
      <w:pPr>
        <w:pStyle w:val="2"/>
        <w:numPr>
          <w:ilvl w:val="0"/>
          <w:numId w:val="1"/>
        </w:numPr>
        <w:ind w:left="0" w:leftChars="0" w:firstLine="630" w:firstLineChars="0"/>
        <w:rPr>
          <w:rFonts w:hint="eastAsia" w:ascii="仿宋" w:hAnsi="仿宋" w:eastAsia="仿宋"/>
          <w:sz w:val="32"/>
          <w:szCs w:val="32"/>
          <w:lang w:val="en-US" w:eastAsia="zh-CN"/>
        </w:rPr>
      </w:pPr>
      <w:r>
        <w:rPr>
          <w:rFonts w:hint="eastAsia" w:ascii="仿宋" w:hAnsi="仿宋" w:eastAsia="仿宋"/>
          <w:sz w:val="32"/>
          <w:szCs w:val="32"/>
          <w:lang w:val="en-US" w:eastAsia="zh-CN"/>
        </w:rPr>
        <w:t>卫生健康支出年初预算数为14.41万元，决算数为14.41万元，完成年初预算的100%，主要原因是：按预算执行。</w:t>
      </w:r>
    </w:p>
    <w:p w14:paraId="76163D6C">
      <w:pPr>
        <w:pStyle w:val="2"/>
        <w:numPr>
          <w:ilvl w:val="0"/>
          <w:numId w:val="1"/>
        </w:numPr>
        <w:ind w:left="0" w:leftChars="0" w:firstLine="630" w:firstLineChars="0"/>
        <w:rPr>
          <w:rFonts w:hint="eastAsia" w:ascii="仿宋" w:hAnsi="仿宋" w:eastAsia="仿宋"/>
          <w:sz w:val="32"/>
          <w:szCs w:val="32"/>
          <w:lang w:val="en-US" w:eastAsia="zh-CN"/>
        </w:rPr>
      </w:pPr>
      <w:r>
        <w:rPr>
          <w:rFonts w:hint="eastAsia" w:ascii="仿宋" w:hAnsi="仿宋" w:eastAsia="仿宋"/>
          <w:sz w:val="32"/>
          <w:szCs w:val="32"/>
          <w:lang w:val="en-US" w:eastAsia="zh-CN"/>
        </w:rPr>
        <w:t>住房保障支出年初预算数为17.82万元，决算数为17.82万元，完成年初预算的100%，主要原因是：按预算执行。</w:t>
      </w:r>
    </w:p>
    <w:p w14:paraId="28DAEC4C">
      <w:pPr>
        <w:ind w:firstLine="585"/>
        <w:jc w:val="left"/>
        <w:rPr>
          <w:rFonts w:hint="eastAsia" w:ascii="黑体" w:hAnsi="黑体" w:eastAsia="黑体"/>
          <w:sz w:val="32"/>
          <w:szCs w:val="32"/>
        </w:rPr>
      </w:pPr>
      <w:r>
        <w:rPr>
          <w:rFonts w:hint="eastAsia" w:ascii="黑体" w:hAnsi="黑体" w:eastAsia="黑体"/>
          <w:sz w:val="32"/>
          <w:szCs w:val="32"/>
        </w:rPr>
        <w:t>四、一般公共预算财政拨款基本支出决算情况说明</w:t>
      </w:r>
    </w:p>
    <w:p w14:paraId="7D96B84E">
      <w:pPr>
        <w:ind w:firstLine="585"/>
        <w:jc w:val="left"/>
        <w:rPr>
          <w:rFonts w:hint="eastAsia" w:ascii="仿宋" w:hAnsi="仿宋" w:eastAsia="仿宋"/>
          <w:sz w:val="32"/>
          <w:szCs w:val="32"/>
        </w:rPr>
      </w:pPr>
      <w:r>
        <w:rPr>
          <w:rFonts w:hint="eastAsia" w:ascii="仿宋" w:hAnsi="仿宋" w:eastAsia="仿宋"/>
          <w:sz w:val="32"/>
          <w:szCs w:val="32"/>
        </w:rPr>
        <w:t>本</w:t>
      </w:r>
      <w:r>
        <w:rPr>
          <w:rFonts w:hint="eastAsia" w:ascii="仿宋" w:hAnsi="仿宋" w:eastAsia="仿宋"/>
          <w:sz w:val="32"/>
          <w:szCs w:val="32"/>
          <w:lang w:val="en-US" w:eastAsia="zh-CN"/>
        </w:rPr>
        <w:t>单位</w:t>
      </w:r>
      <w:r>
        <w:rPr>
          <w:rFonts w:hint="eastAsia" w:ascii="仿宋" w:hAnsi="仿宋" w:eastAsia="仿宋"/>
          <w:sz w:val="32"/>
          <w:szCs w:val="32"/>
          <w:lang w:eastAsia="zh-CN"/>
        </w:rPr>
        <w:t>2022</w:t>
      </w:r>
      <w:r>
        <w:rPr>
          <w:rFonts w:hint="eastAsia" w:ascii="仿宋" w:hAnsi="仿宋" w:eastAsia="仿宋"/>
          <w:sz w:val="32"/>
          <w:szCs w:val="32"/>
        </w:rPr>
        <w:t>年度一般公共预算财政拨款基本支出</w:t>
      </w:r>
      <w:r>
        <w:rPr>
          <w:rFonts w:hint="eastAsia" w:ascii="仿宋" w:hAnsi="仿宋" w:eastAsia="仿宋"/>
          <w:sz w:val="32"/>
          <w:szCs w:val="32"/>
          <w:lang w:val="en-US" w:eastAsia="zh-CN"/>
        </w:rPr>
        <w:t>251.39</w:t>
      </w:r>
      <w:r>
        <w:rPr>
          <w:rFonts w:hint="eastAsia" w:ascii="仿宋" w:hAnsi="仿宋" w:eastAsia="仿宋"/>
          <w:sz w:val="32"/>
          <w:szCs w:val="32"/>
        </w:rPr>
        <w:t>万元，其中：</w:t>
      </w:r>
    </w:p>
    <w:p w14:paraId="2BCF10DD">
      <w:pPr>
        <w:numPr>
          <w:ilvl w:val="0"/>
          <w:numId w:val="2"/>
        </w:numPr>
        <w:ind w:firstLine="585"/>
        <w:jc w:val="left"/>
        <w:rPr>
          <w:rFonts w:hint="eastAsia" w:ascii="仿宋" w:hAnsi="仿宋" w:eastAsia="仿宋"/>
          <w:sz w:val="32"/>
          <w:szCs w:val="32"/>
          <w:lang w:val="en-US" w:eastAsia="zh-CN"/>
        </w:rPr>
      </w:pPr>
      <w:r>
        <w:rPr>
          <w:rFonts w:hint="eastAsia" w:ascii="仿宋" w:hAnsi="仿宋" w:eastAsia="仿宋"/>
          <w:sz w:val="32"/>
          <w:szCs w:val="32"/>
        </w:rPr>
        <w:t>工资福利支出</w:t>
      </w:r>
      <w:r>
        <w:rPr>
          <w:rFonts w:hint="eastAsia" w:ascii="仿宋" w:hAnsi="仿宋" w:eastAsia="仿宋"/>
          <w:sz w:val="32"/>
          <w:szCs w:val="32"/>
          <w:lang w:val="en-US" w:eastAsia="zh-CN"/>
        </w:rPr>
        <w:t>246.75</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增加47.64</w:t>
      </w:r>
      <w:r>
        <w:rPr>
          <w:rFonts w:hint="eastAsia" w:ascii="仿宋" w:hAnsi="仿宋" w:eastAsia="仿宋"/>
          <w:sz w:val="32"/>
          <w:szCs w:val="32"/>
        </w:rPr>
        <w:t>万元，</w:t>
      </w:r>
      <w:r>
        <w:rPr>
          <w:rFonts w:hint="eastAsia" w:ascii="仿宋" w:hAnsi="仿宋" w:eastAsia="仿宋"/>
          <w:sz w:val="32"/>
          <w:szCs w:val="32"/>
          <w:lang w:val="en-US" w:eastAsia="zh-CN"/>
        </w:rPr>
        <w:t>增长23.9</w:t>
      </w:r>
      <w:r>
        <w:rPr>
          <w:rFonts w:hint="eastAsia" w:ascii="仿宋" w:hAnsi="仿宋" w:eastAsia="仿宋"/>
          <w:sz w:val="32"/>
          <w:szCs w:val="32"/>
        </w:rPr>
        <w:t>%，主要原因是：</w:t>
      </w:r>
      <w:r>
        <w:rPr>
          <w:rFonts w:hint="eastAsia" w:ascii="仿宋" w:hAnsi="仿宋" w:eastAsia="仿宋"/>
          <w:sz w:val="32"/>
          <w:szCs w:val="32"/>
          <w:lang w:val="en-US" w:eastAsia="zh-CN"/>
        </w:rPr>
        <w:t>人员正常增资及增加月度基础绩效工资。</w:t>
      </w:r>
    </w:p>
    <w:p w14:paraId="6A6BAA7C">
      <w:pPr>
        <w:ind w:firstLine="585"/>
        <w:jc w:val="both"/>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二</w:t>
      </w:r>
      <w:r>
        <w:rPr>
          <w:rFonts w:hint="eastAsia" w:ascii="仿宋" w:hAnsi="仿宋" w:eastAsia="仿宋"/>
          <w:sz w:val="32"/>
          <w:szCs w:val="32"/>
          <w:lang w:eastAsia="zh-CN"/>
        </w:rPr>
        <w:t>）</w:t>
      </w:r>
      <w:r>
        <w:rPr>
          <w:rFonts w:hint="eastAsia" w:ascii="仿宋" w:hAnsi="仿宋" w:eastAsia="仿宋"/>
          <w:sz w:val="32"/>
          <w:szCs w:val="32"/>
        </w:rPr>
        <w:t>商品和服务支出</w:t>
      </w:r>
      <w:r>
        <w:rPr>
          <w:rFonts w:hint="eastAsia" w:ascii="仿宋" w:hAnsi="仿宋" w:eastAsia="仿宋"/>
          <w:sz w:val="32"/>
          <w:szCs w:val="32"/>
          <w:lang w:val="en-US" w:eastAsia="zh-CN"/>
        </w:rPr>
        <w:t>1.98</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减少33.43</w:t>
      </w:r>
      <w:r>
        <w:rPr>
          <w:rFonts w:hint="eastAsia" w:ascii="仿宋" w:hAnsi="仿宋" w:eastAsia="仿宋"/>
          <w:sz w:val="32"/>
          <w:szCs w:val="32"/>
        </w:rPr>
        <w:t>万元，</w:t>
      </w:r>
      <w:r>
        <w:rPr>
          <w:rFonts w:hint="eastAsia" w:ascii="仿宋" w:hAnsi="仿宋" w:eastAsia="仿宋"/>
          <w:sz w:val="32"/>
          <w:szCs w:val="32"/>
          <w:lang w:val="en-US" w:eastAsia="zh-CN"/>
        </w:rPr>
        <w:t>下降96.9</w:t>
      </w:r>
      <w:r>
        <w:rPr>
          <w:rFonts w:hint="eastAsia" w:ascii="仿宋" w:hAnsi="仿宋" w:eastAsia="仿宋"/>
          <w:sz w:val="32"/>
          <w:szCs w:val="32"/>
        </w:rPr>
        <w:t>%，主要原因是：</w:t>
      </w:r>
      <w:r>
        <w:rPr>
          <w:rFonts w:hint="eastAsia" w:ascii="仿宋" w:hAnsi="仿宋" w:eastAsia="仿宋"/>
          <w:sz w:val="32"/>
          <w:szCs w:val="32"/>
          <w:lang w:val="en-US" w:eastAsia="zh-CN"/>
        </w:rPr>
        <w:t>主要由退役军人事务保障项目经费支出</w:t>
      </w:r>
      <w:r>
        <w:rPr>
          <w:rFonts w:hint="eastAsia" w:ascii="仿宋" w:hAnsi="仿宋" w:eastAsia="仿宋"/>
          <w:sz w:val="32"/>
          <w:szCs w:val="32"/>
        </w:rPr>
        <w:t>。</w:t>
      </w:r>
    </w:p>
    <w:p w14:paraId="107DC34A">
      <w:pPr>
        <w:ind w:firstLine="585"/>
        <w:jc w:val="both"/>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（三）对个人和家庭补助支出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万元，较20</w:t>
      </w:r>
      <w:r>
        <w:rPr>
          <w:rFonts w:hint="eastAsia" w:ascii="仿宋_GB2312" w:hAnsi="仿宋_GB2312" w:eastAsia="仿宋_GB2312"/>
          <w:color w:val="auto"/>
          <w:sz w:val="32"/>
          <w:szCs w:val="32"/>
          <w:lang w:val="en-US" w:eastAsia="zh-CN"/>
        </w:rPr>
        <w:t>21</w:t>
      </w:r>
      <w:r>
        <w:rPr>
          <w:rFonts w:hint="eastAsia" w:ascii="仿宋_GB2312" w:hAnsi="仿宋_GB2312" w:eastAsia="仿宋_GB2312"/>
          <w:color w:val="auto"/>
          <w:sz w:val="32"/>
          <w:szCs w:val="32"/>
        </w:rPr>
        <w:t>年减少</w:t>
      </w:r>
      <w:r>
        <w:rPr>
          <w:rFonts w:hint="eastAsia" w:ascii="仿宋_GB2312" w:hAnsi="仿宋_GB2312" w:eastAsia="仿宋_GB2312"/>
          <w:color w:val="auto"/>
          <w:sz w:val="32"/>
          <w:szCs w:val="32"/>
          <w:lang w:val="en-US" w:eastAsia="zh-CN"/>
        </w:rPr>
        <w:t>3.96</w:t>
      </w:r>
      <w:r>
        <w:rPr>
          <w:rFonts w:hint="eastAsia" w:ascii="仿宋_GB2312" w:hAnsi="仿宋_GB2312" w:eastAsia="仿宋_GB2312"/>
          <w:color w:val="auto"/>
          <w:sz w:val="32"/>
          <w:szCs w:val="32"/>
        </w:rPr>
        <w:t>万元，</w:t>
      </w:r>
      <w:r>
        <w:rPr>
          <w:rFonts w:hint="eastAsia" w:ascii="仿宋_GB2312" w:hAnsi="仿宋_GB2312" w:eastAsia="仿宋_GB2312"/>
          <w:color w:val="auto"/>
          <w:sz w:val="32"/>
          <w:szCs w:val="32"/>
          <w:lang w:val="en-US" w:eastAsia="zh-CN"/>
        </w:rPr>
        <w:t>下降100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lang w:val="en-US" w:eastAsia="zh-CN"/>
        </w:rPr>
        <w:t>主要原因是：调整支出科目</w:t>
      </w:r>
      <w:r>
        <w:rPr>
          <w:rFonts w:hint="eastAsia" w:ascii="仿宋_GB2312" w:hAnsi="仿宋_GB2312" w:eastAsia="仿宋_GB2312"/>
          <w:color w:val="auto"/>
          <w:sz w:val="32"/>
          <w:szCs w:val="32"/>
        </w:rPr>
        <w:t>。</w:t>
      </w:r>
    </w:p>
    <w:p w14:paraId="15CB8F3E">
      <w:pPr>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四）</w:t>
      </w:r>
      <w:r>
        <w:rPr>
          <w:rFonts w:hint="eastAsia" w:ascii="仿宋" w:hAnsi="仿宋" w:eastAsia="仿宋"/>
          <w:sz w:val="32"/>
          <w:szCs w:val="32"/>
        </w:rPr>
        <w:t>资本性支出</w:t>
      </w:r>
      <w:r>
        <w:rPr>
          <w:rFonts w:hint="eastAsia" w:ascii="仿宋" w:hAnsi="仿宋" w:eastAsia="仿宋"/>
          <w:sz w:val="32"/>
          <w:szCs w:val="32"/>
          <w:lang w:val="en-US" w:eastAsia="zh-CN"/>
        </w:rPr>
        <w:t>2.66</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增加2.66</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rPr>
        <w:t>主要原因是：</w:t>
      </w:r>
      <w:r>
        <w:rPr>
          <w:rFonts w:hint="eastAsia" w:ascii="仿宋" w:hAnsi="仿宋" w:eastAsia="仿宋"/>
          <w:sz w:val="32"/>
          <w:szCs w:val="32"/>
          <w:lang w:val="en-US" w:eastAsia="zh-CN"/>
        </w:rPr>
        <w:t>产生办公设备购置支出。</w:t>
      </w:r>
    </w:p>
    <w:p w14:paraId="3D0EB4A4">
      <w:pPr>
        <w:ind w:firstLine="630"/>
        <w:jc w:val="left"/>
        <w:rPr>
          <w:rFonts w:hint="eastAsia" w:ascii="黑体" w:hAnsi="黑体" w:eastAsia="黑体"/>
          <w:sz w:val="32"/>
          <w:szCs w:val="32"/>
        </w:rPr>
      </w:pPr>
      <w:r>
        <w:rPr>
          <w:rFonts w:hint="eastAsia" w:ascii="黑体" w:hAnsi="黑体" w:eastAsia="黑体"/>
          <w:sz w:val="32"/>
          <w:szCs w:val="32"/>
        </w:rPr>
        <w:t>五、一般公共预算财政拨款“三公”经费支出决算情况说明</w:t>
      </w:r>
    </w:p>
    <w:p w14:paraId="0EF16B29">
      <w:pPr>
        <w:ind w:firstLine="630"/>
        <w:jc w:val="both"/>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本</w:t>
      </w:r>
      <w:r>
        <w:rPr>
          <w:rFonts w:hint="eastAsia" w:ascii="仿宋_GB2312" w:hAnsi="仿宋_GB2312" w:eastAsia="仿宋_GB2312"/>
          <w:color w:val="auto"/>
          <w:sz w:val="32"/>
          <w:szCs w:val="32"/>
          <w:lang w:val="en-US" w:eastAsia="zh-CN"/>
        </w:rPr>
        <w:t>单位</w:t>
      </w:r>
      <w:r>
        <w:rPr>
          <w:rFonts w:hint="eastAsia" w:ascii="仿宋_GB2312" w:hAnsi="仿宋_GB2312" w:eastAsia="仿宋_GB2312"/>
          <w:color w:val="auto"/>
          <w:sz w:val="32"/>
          <w:szCs w:val="32"/>
        </w:rPr>
        <w:t>202</w:t>
      </w:r>
      <w:r>
        <w:rPr>
          <w:rFonts w:hint="eastAsia" w:ascii="仿宋_GB2312" w:hAnsi="仿宋_GB2312" w:eastAsia="仿宋_GB2312"/>
          <w:color w:val="auto"/>
          <w:sz w:val="32"/>
          <w:szCs w:val="32"/>
          <w:lang w:val="en-US" w:eastAsia="zh-CN"/>
        </w:rPr>
        <w:t>2</w:t>
      </w:r>
      <w:r>
        <w:rPr>
          <w:rFonts w:hint="eastAsia" w:ascii="仿宋_GB2312" w:hAnsi="仿宋_GB2312" w:eastAsia="仿宋_GB2312"/>
          <w:color w:val="auto"/>
          <w:sz w:val="32"/>
          <w:szCs w:val="32"/>
        </w:rPr>
        <w:t>年度财政拨款“三公”经费支出</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预算数为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万元，决算数为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万元，完成</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预算的</w:t>
      </w:r>
      <w:r>
        <w:rPr>
          <w:rFonts w:hint="eastAsia" w:ascii="仿宋_GB2312" w:hAnsi="仿宋_GB2312" w:eastAsia="仿宋_GB2312"/>
          <w:color w:val="auto"/>
          <w:sz w:val="32"/>
          <w:szCs w:val="32"/>
          <w:lang w:val="en-US" w:eastAsia="zh-CN"/>
        </w:rPr>
        <w:t>100</w:t>
      </w:r>
      <w:r>
        <w:rPr>
          <w:rFonts w:hint="eastAsia" w:ascii="仿宋_GB2312" w:hAnsi="仿宋_GB2312" w:eastAsia="仿宋_GB2312"/>
          <w:color w:val="auto"/>
          <w:sz w:val="32"/>
          <w:szCs w:val="32"/>
        </w:rPr>
        <w:t>%，决算数较20</w:t>
      </w:r>
      <w:r>
        <w:rPr>
          <w:rFonts w:hint="eastAsia" w:ascii="仿宋_GB2312" w:hAnsi="仿宋_GB2312" w:eastAsia="仿宋_GB2312"/>
          <w:color w:val="auto"/>
          <w:sz w:val="32"/>
          <w:szCs w:val="32"/>
          <w:lang w:val="en-US" w:eastAsia="zh-CN"/>
        </w:rPr>
        <w:t>21</w:t>
      </w:r>
      <w:r>
        <w:rPr>
          <w:rFonts w:hint="eastAsia" w:ascii="仿宋_GB2312" w:hAnsi="仿宋_GB2312" w:eastAsia="仿宋_GB2312"/>
          <w:color w:val="auto"/>
          <w:sz w:val="32"/>
          <w:szCs w:val="32"/>
        </w:rPr>
        <w:t>年增加（减少）</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万元，增长（下降）</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%，其中：</w:t>
      </w:r>
    </w:p>
    <w:p w14:paraId="466AB17D">
      <w:pPr>
        <w:ind w:firstLine="630"/>
        <w:jc w:val="both"/>
        <w:rPr>
          <w:rFonts w:hint="default" w:ascii="仿宋_GB2312" w:hAnsi="仿宋_GB2312" w:eastAsia="仿宋_GB2312"/>
          <w:color w:val="auto"/>
          <w:sz w:val="32"/>
          <w:szCs w:val="32"/>
          <w:lang w:val="en-US"/>
        </w:rPr>
      </w:pPr>
      <w:r>
        <w:rPr>
          <w:rFonts w:hint="eastAsia" w:ascii="仿宋_GB2312" w:hAnsi="仿宋_GB2312" w:eastAsia="仿宋_GB2312"/>
          <w:color w:val="auto"/>
          <w:sz w:val="32"/>
          <w:szCs w:val="32"/>
        </w:rPr>
        <w:t>（一）因公出国（境）支出</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预算数为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万元，决算数为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万元，完成</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预算的</w:t>
      </w:r>
      <w:r>
        <w:rPr>
          <w:rFonts w:hint="eastAsia" w:ascii="仿宋_GB2312" w:hAnsi="仿宋_GB2312" w:eastAsia="仿宋_GB2312"/>
          <w:color w:val="auto"/>
          <w:sz w:val="32"/>
          <w:szCs w:val="32"/>
          <w:lang w:val="en-US" w:eastAsia="zh-CN"/>
        </w:rPr>
        <w:t>100</w:t>
      </w:r>
      <w:r>
        <w:rPr>
          <w:rFonts w:hint="eastAsia" w:ascii="仿宋_GB2312" w:hAnsi="仿宋_GB2312" w:eastAsia="仿宋_GB2312"/>
          <w:color w:val="auto"/>
          <w:sz w:val="32"/>
          <w:szCs w:val="32"/>
        </w:rPr>
        <w:t>%，决算数较20</w:t>
      </w:r>
      <w:r>
        <w:rPr>
          <w:rFonts w:hint="eastAsia" w:ascii="仿宋_GB2312" w:hAnsi="仿宋_GB2312" w:eastAsia="仿宋_GB2312"/>
          <w:color w:val="auto"/>
          <w:sz w:val="32"/>
          <w:szCs w:val="32"/>
          <w:lang w:val="en-US" w:eastAsia="zh-CN"/>
        </w:rPr>
        <w:t>21</w:t>
      </w:r>
      <w:r>
        <w:rPr>
          <w:rFonts w:hint="eastAsia" w:ascii="仿宋_GB2312" w:hAnsi="仿宋_GB2312" w:eastAsia="仿宋_GB2312"/>
          <w:color w:val="auto"/>
          <w:sz w:val="32"/>
          <w:szCs w:val="32"/>
        </w:rPr>
        <w:t>年增加（减少）</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万元，增长（下降）</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%。决算数较</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预算数</w:t>
      </w:r>
      <w:r>
        <w:rPr>
          <w:rFonts w:hint="eastAsia" w:ascii="仿宋_GB2312" w:hAnsi="仿宋_GB2312" w:eastAsia="仿宋_GB2312"/>
          <w:color w:val="auto"/>
          <w:sz w:val="32"/>
          <w:szCs w:val="32"/>
          <w:lang w:val="en-US" w:eastAsia="zh-CN"/>
        </w:rPr>
        <w:t>无增减变动。全年安排因公出国（境）团组0个，累计0人次，</w:t>
      </w:r>
      <w:r>
        <w:rPr>
          <w:rFonts w:hint="eastAsia" w:ascii="仿宋_GB2312" w:hAnsi="仿宋_GB2312" w:eastAsia="仿宋_GB2312"/>
          <w:color w:val="auto"/>
          <w:sz w:val="32"/>
          <w:szCs w:val="32"/>
        </w:rPr>
        <w:t>。</w:t>
      </w:r>
    </w:p>
    <w:p w14:paraId="28357140">
      <w:pPr>
        <w:ind w:firstLine="630"/>
        <w:jc w:val="both"/>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rPr>
        <w:t>（二）公务接待费支出</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预算数为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 xml:space="preserve">万元，决算数为 </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万元，完成</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预算的</w:t>
      </w:r>
      <w:r>
        <w:rPr>
          <w:rFonts w:hint="eastAsia" w:ascii="仿宋_GB2312" w:hAnsi="仿宋_GB2312" w:eastAsia="仿宋_GB2312"/>
          <w:color w:val="auto"/>
          <w:sz w:val="32"/>
          <w:szCs w:val="32"/>
          <w:lang w:val="en-US" w:eastAsia="zh-CN"/>
        </w:rPr>
        <w:t>100</w:t>
      </w:r>
      <w:r>
        <w:rPr>
          <w:rFonts w:hint="eastAsia" w:ascii="仿宋_GB2312" w:hAnsi="仿宋_GB2312" w:eastAsia="仿宋_GB2312"/>
          <w:color w:val="auto"/>
          <w:sz w:val="32"/>
          <w:szCs w:val="32"/>
        </w:rPr>
        <w:t>%，决算数较20</w:t>
      </w:r>
      <w:r>
        <w:rPr>
          <w:rFonts w:hint="eastAsia" w:ascii="仿宋_GB2312" w:hAnsi="仿宋_GB2312" w:eastAsia="仿宋_GB2312"/>
          <w:color w:val="auto"/>
          <w:sz w:val="32"/>
          <w:szCs w:val="32"/>
          <w:lang w:val="en-US" w:eastAsia="zh-CN"/>
        </w:rPr>
        <w:t>21</w:t>
      </w:r>
      <w:r>
        <w:rPr>
          <w:rFonts w:hint="eastAsia" w:ascii="仿宋_GB2312" w:hAnsi="仿宋_GB2312" w:eastAsia="仿宋_GB2312"/>
          <w:color w:val="auto"/>
          <w:sz w:val="32"/>
          <w:szCs w:val="32"/>
        </w:rPr>
        <w:t>年增加（减少）</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万元，增长（下降）</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%。决算数较</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预算数</w:t>
      </w:r>
      <w:r>
        <w:rPr>
          <w:rFonts w:hint="eastAsia" w:ascii="仿宋_GB2312" w:hAnsi="仿宋_GB2312" w:eastAsia="仿宋_GB2312"/>
          <w:color w:val="auto"/>
          <w:sz w:val="32"/>
          <w:szCs w:val="32"/>
          <w:lang w:val="en-US" w:eastAsia="zh-CN"/>
        </w:rPr>
        <w:t>无增减变动</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全年国内公务接待0批，累计接待0人次，其中外事接待0批，累计接待0次</w:t>
      </w:r>
      <w:r>
        <w:rPr>
          <w:rFonts w:hint="eastAsia" w:ascii="仿宋_GB2312" w:hAnsi="仿宋_GB2312" w:eastAsia="仿宋_GB2312"/>
          <w:color w:val="auto"/>
          <w:sz w:val="32"/>
          <w:szCs w:val="32"/>
        </w:rPr>
        <w:t>。</w:t>
      </w:r>
    </w:p>
    <w:p w14:paraId="247B7AAB">
      <w:pPr>
        <w:ind w:firstLine="630"/>
        <w:jc w:val="both"/>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rPr>
        <w:t>（三）公务用车购置及运行维护费支出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万元，其中公务用车购置</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预算数为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万元，决算数为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万元，完成</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预算的</w:t>
      </w:r>
      <w:r>
        <w:rPr>
          <w:rFonts w:hint="eastAsia" w:ascii="仿宋_GB2312" w:hAnsi="仿宋_GB2312" w:eastAsia="仿宋_GB2312"/>
          <w:color w:val="auto"/>
          <w:sz w:val="32"/>
          <w:szCs w:val="32"/>
          <w:lang w:val="en-US" w:eastAsia="zh-CN"/>
        </w:rPr>
        <w:t>100</w:t>
      </w:r>
      <w:r>
        <w:rPr>
          <w:rFonts w:hint="eastAsia" w:ascii="仿宋_GB2312" w:hAnsi="仿宋_GB2312" w:eastAsia="仿宋_GB2312"/>
          <w:color w:val="auto"/>
          <w:sz w:val="32"/>
          <w:szCs w:val="32"/>
        </w:rPr>
        <w:t>%，决算数较20</w:t>
      </w:r>
      <w:r>
        <w:rPr>
          <w:rFonts w:hint="eastAsia" w:ascii="仿宋_GB2312" w:hAnsi="仿宋_GB2312" w:eastAsia="仿宋_GB2312"/>
          <w:color w:val="auto"/>
          <w:sz w:val="32"/>
          <w:szCs w:val="32"/>
          <w:lang w:val="en-US" w:eastAsia="zh-CN"/>
        </w:rPr>
        <w:t>21</w:t>
      </w:r>
      <w:r>
        <w:rPr>
          <w:rFonts w:hint="eastAsia" w:ascii="仿宋_GB2312" w:hAnsi="仿宋_GB2312" w:eastAsia="仿宋_GB2312"/>
          <w:color w:val="auto"/>
          <w:sz w:val="32"/>
          <w:szCs w:val="32"/>
        </w:rPr>
        <w:t>年增加（减少）</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万元，增长（下降）</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lang w:val="en-US" w:eastAsia="zh-CN"/>
        </w:rPr>
        <w:t>全年购置公务用车0辆</w:t>
      </w:r>
      <w:r>
        <w:rPr>
          <w:rFonts w:hint="eastAsia" w:ascii="仿宋_GB2312" w:hAnsi="仿宋_GB2312" w:eastAsia="仿宋_GB2312"/>
          <w:color w:val="auto"/>
          <w:sz w:val="32"/>
          <w:szCs w:val="32"/>
        </w:rPr>
        <w:t>。决算数较</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预算数</w:t>
      </w:r>
      <w:r>
        <w:rPr>
          <w:rFonts w:hint="eastAsia" w:ascii="仿宋_GB2312" w:hAnsi="仿宋_GB2312" w:eastAsia="仿宋_GB2312"/>
          <w:color w:val="auto"/>
          <w:sz w:val="32"/>
          <w:szCs w:val="32"/>
          <w:lang w:val="en-US" w:eastAsia="zh-CN"/>
        </w:rPr>
        <w:t>无增减变动</w:t>
      </w:r>
      <w:r>
        <w:rPr>
          <w:rFonts w:hint="eastAsia" w:ascii="仿宋_GB2312" w:hAnsi="仿宋_GB2312" w:eastAsia="仿宋_GB2312"/>
          <w:color w:val="auto"/>
          <w:sz w:val="32"/>
          <w:szCs w:val="32"/>
        </w:rPr>
        <w:t>；公务用车运行维护费支出</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预算数为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万元，决算数为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万元，完成</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预算的</w:t>
      </w:r>
      <w:r>
        <w:rPr>
          <w:rFonts w:hint="eastAsia" w:ascii="仿宋_GB2312" w:hAnsi="仿宋_GB2312" w:eastAsia="仿宋_GB2312"/>
          <w:color w:val="auto"/>
          <w:sz w:val="32"/>
          <w:szCs w:val="32"/>
          <w:lang w:val="en-US" w:eastAsia="zh-CN"/>
        </w:rPr>
        <w:t>100</w:t>
      </w:r>
      <w:r>
        <w:rPr>
          <w:rFonts w:hint="eastAsia" w:ascii="仿宋_GB2312" w:hAnsi="仿宋_GB2312" w:eastAsia="仿宋_GB2312"/>
          <w:color w:val="auto"/>
          <w:sz w:val="32"/>
          <w:szCs w:val="32"/>
        </w:rPr>
        <w:t>%，决算数较20</w:t>
      </w:r>
      <w:r>
        <w:rPr>
          <w:rFonts w:hint="eastAsia" w:ascii="仿宋_GB2312" w:hAnsi="仿宋_GB2312" w:eastAsia="仿宋_GB2312"/>
          <w:color w:val="auto"/>
          <w:sz w:val="32"/>
          <w:szCs w:val="32"/>
          <w:lang w:val="en-US" w:eastAsia="zh-CN"/>
        </w:rPr>
        <w:t>21</w:t>
      </w:r>
      <w:r>
        <w:rPr>
          <w:rFonts w:hint="eastAsia" w:ascii="仿宋_GB2312" w:hAnsi="仿宋_GB2312" w:eastAsia="仿宋_GB2312"/>
          <w:color w:val="auto"/>
          <w:sz w:val="32"/>
          <w:szCs w:val="32"/>
        </w:rPr>
        <w:t>年增加（减少）</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万元，增长（下降）</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lang w:val="en-US" w:eastAsia="zh-CN"/>
        </w:rPr>
        <w:t>年末公务用车保有0辆</w:t>
      </w:r>
      <w:r>
        <w:rPr>
          <w:rFonts w:hint="eastAsia" w:ascii="仿宋_GB2312" w:hAnsi="仿宋_GB2312" w:eastAsia="仿宋_GB2312"/>
          <w:color w:val="auto"/>
          <w:sz w:val="32"/>
          <w:szCs w:val="32"/>
        </w:rPr>
        <w:t>。决算数较</w:t>
      </w:r>
      <w:r>
        <w:rPr>
          <w:rFonts w:hint="eastAsia" w:ascii="仿宋_GB2312" w:hAnsi="仿宋_GB2312" w:eastAsia="仿宋_GB2312"/>
          <w:color w:val="auto"/>
          <w:sz w:val="32"/>
          <w:szCs w:val="32"/>
          <w:lang w:val="en-US" w:eastAsia="zh-CN"/>
        </w:rPr>
        <w:t>全年</w:t>
      </w:r>
      <w:r>
        <w:rPr>
          <w:rFonts w:hint="eastAsia" w:ascii="仿宋_GB2312" w:hAnsi="仿宋_GB2312" w:eastAsia="仿宋_GB2312"/>
          <w:color w:val="auto"/>
          <w:sz w:val="32"/>
          <w:szCs w:val="32"/>
        </w:rPr>
        <w:t>预算数</w:t>
      </w:r>
      <w:r>
        <w:rPr>
          <w:rFonts w:hint="eastAsia" w:ascii="仿宋_GB2312" w:hAnsi="仿宋_GB2312" w:eastAsia="仿宋_GB2312"/>
          <w:color w:val="auto"/>
          <w:sz w:val="32"/>
          <w:szCs w:val="32"/>
          <w:lang w:val="en-US" w:eastAsia="zh-CN"/>
        </w:rPr>
        <w:t>无增减变动。</w:t>
      </w:r>
    </w:p>
    <w:p w14:paraId="68B54AEB">
      <w:pPr>
        <w:ind w:firstLine="630"/>
        <w:jc w:val="left"/>
        <w:rPr>
          <w:rFonts w:hint="eastAsia" w:ascii="黑体" w:hAnsi="黑体" w:eastAsia="黑体"/>
          <w:sz w:val="32"/>
          <w:szCs w:val="32"/>
        </w:rPr>
      </w:pPr>
      <w:r>
        <w:rPr>
          <w:rFonts w:hint="eastAsia" w:ascii="黑体" w:hAnsi="黑体" w:eastAsia="黑体"/>
          <w:sz w:val="32"/>
          <w:szCs w:val="32"/>
        </w:rPr>
        <w:t>六、机关运行经费支出情况说明</w:t>
      </w:r>
    </w:p>
    <w:p w14:paraId="7812DB75">
      <w:pPr>
        <w:numPr>
          <w:ilvl w:val="0"/>
          <w:numId w:val="0"/>
        </w:numPr>
        <w:ind w:firstLine="640" w:firstLineChars="200"/>
        <w:jc w:val="left"/>
        <w:rPr>
          <w:rFonts w:hint="default" w:ascii="仿宋" w:hAnsi="仿宋" w:eastAsia="仿宋"/>
          <w:sz w:val="32"/>
          <w:szCs w:val="32"/>
          <w:lang w:val="en-US"/>
        </w:rPr>
      </w:pPr>
      <w:r>
        <w:rPr>
          <w:rFonts w:hint="eastAsia" w:ascii="仿宋_GB2312" w:hAnsi="仿宋_GB2312" w:eastAsia="仿宋_GB2312"/>
          <w:b w:val="0"/>
          <w:bCs w:val="0"/>
          <w:color w:val="auto"/>
          <w:sz w:val="32"/>
          <w:szCs w:val="32"/>
          <w:lang w:val="en-US" w:eastAsia="zh-CN"/>
        </w:rPr>
        <w:t>本单位不是</w:t>
      </w:r>
      <w:r>
        <w:rPr>
          <w:rFonts w:hint="eastAsia" w:ascii="仿宋_GB2312" w:hAnsi="仿宋_GB2312" w:eastAsia="仿宋_GB2312"/>
          <w:b w:val="0"/>
          <w:bCs w:val="0"/>
          <w:color w:val="auto"/>
          <w:sz w:val="32"/>
          <w:szCs w:val="32"/>
        </w:rPr>
        <w:t>行政单位</w:t>
      </w:r>
      <w:r>
        <w:rPr>
          <w:rFonts w:hint="eastAsia" w:ascii="仿宋_GB2312" w:hAnsi="仿宋_GB2312" w:eastAsia="仿宋_GB2312"/>
          <w:b w:val="0"/>
          <w:bCs w:val="0"/>
          <w:color w:val="auto"/>
          <w:sz w:val="32"/>
          <w:szCs w:val="32"/>
          <w:lang w:val="en-US" w:eastAsia="zh-CN"/>
        </w:rPr>
        <w:t>或</w:t>
      </w:r>
      <w:r>
        <w:rPr>
          <w:rFonts w:hint="eastAsia" w:ascii="仿宋_GB2312" w:hAnsi="仿宋_GB2312" w:eastAsia="仿宋_GB2312"/>
          <w:b w:val="0"/>
          <w:bCs w:val="0"/>
          <w:color w:val="auto"/>
          <w:sz w:val="32"/>
          <w:szCs w:val="32"/>
        </w:rPr>
        <w:t>参照公务员法管理事业单位</w:t>
      </w:r>
      <w:r>
        <w:rPr>
          <w:rFonts w:hint="eastAsia" w:ascii="仿宋_GB2312" w:hAnsi="仿宋_GB2312" w:eastAsia="仿宋_GB2312"/>
          <w:b w:val="0"/>
          <w:bCs w:val="0"/>
          <w:color w:val="auto"/>
          <w:sz w:val="32"/>
          <w:szCs w:val="32"/>
          <w:lang w:eastAsia="zh-CN"/>
        </w:rPr>
        <w:t>，</w:t>
      </w:r>
      <w:r>
        <w:rPr>
          <w:rFonts w:hint="eastAsia" w:ascii="仿宋_GB2312" w:hAnsi="仿宋_GB2312" w:eastAsia="仿宋_GB2312"/>
          <w:b w:val="0"/>
          <w:bCs w:val="0"/>
          <w:color w:val="auto"/>
          <w:sz w:val="32"/>
          <w:szCs w:val="32"/>
          <w:lang w:val="en-US" w:eastAsia="zh-CN"/>
        </w:rPr>
        <w:t>故无机关运行经费支出</w:t>
      </w:r>
      <w:r>
        <w:rPr>
          <w:rFonts w:hint="eastAsia" w:ascii="仿宋" w:hAnsi="仿宋" w:eastAsia="仿宋"/>
          <w:sz w:val="32"/>
          <w:szCs w:val="32"/>
          <w:lang w:val="en-US" w:eastAsia="zh-CN"/>
        </w:rPr>
        <w:t>。</w:t>
      </w:r>
    </w:p>
    <w:p w14:paraId="35C25633">
      <w:pPr>
        <w:ind w:firstLine="630"/>
        <w:jc w:val="left"/>
        <w:rPr>
          <w:rFonts w:ascii="黑体" w:hAnsi="黑体" w:eastAsia="黑体"/>
          <w:sz w:val="32"/>
          <w:szCs w:val="32"/>
        </w:rPr>
      </w:pPr>
      <w:r>
        <w:rPr>
          <w:rFonts w:hint="eastAsia" w:ascii="黑体" w:hAnsi="黑体" w:eastAsia="黑体"/>
          <w:sz w:val="32"/>
          <w:szCs w:val="32"/>
        </w:rPr>
        <w:t>七、政府采购支出情况说明</w:t>
      </w:r>
    </w:p>
    <w:p w14:paraId="7436EA23">
      <w:pPr>
        <w:pStyle w:val="6"/>
        <w:keepNext w:val="0"/>
        <w:keepLines w:val="0"/>
        <w:pageBreakBefore w:val="0"/>
        <w:kinsoku/>
        <w:wordWrap/>
        <w:overflowPunct/>
        <w:topLinePunct w:val="0"/>
        <w:bidi w:val="0"/>
        <w:snapToGrid/>
        <w:spacing w:line="600" w:lineRule="exact"/>
        <w:ind w:firstLine="640" w:firstLineChars="2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本</w:t>
      </w:r>
      <w:r>
        <w:rPr>
          <w:rFonts w:hint="eastAsia" w:ascii="仿宋_GB2312" w:hAnsi="仿宋_GB2312" w:eastAsia="仿宋_GB2312"/>
          <w:color w:val="auto"/>
          <w:sz w:val="32"/>
          <w:szCs w:val="32"/>
          <w:lang w:val="en-US" w:eastAsia="zh-CN"/>
        </w:rPr>
        <w:t>单位</w:t>
      </w:r>
      <w:r>
        <w:rPr>
          <w:rFonts w:hint="eastAsia" w:ascii="仿宋_GB2312" w:hAnsi="仿宋_GB2312" w:eastAsia="仿宋_GB2312"/>
          <w:color w:val="auto"/>
          <w:sz w:val="32"/>
          <w:szCs w:val="32"/>
        </w:rPr>
        <w:t>202</w:t>
      </w:r>
      <w:r>
        <w:rPr>
          <w:rFonts w:hint="eastAsia" w:ascii="仿宋_GB2312" w:hAnsi="仿宋_GB2312" w:eastAsia="仿宋_GB2312"/>
          <w:color w:val="auto"/>
          <w:sz w:val="32"/>
          <w:szCs w:val="32"/>
          <w:lang w:val="en-US" w:eastAsia="zh-CN"/>
        </w:rPr>
        <w:t>2</w:t>
      </w:r>
      <w:r>
        <w:rPr>
          <w:rFonts w:hint="eastAsia" w:ascii="仿宋_GB2312" w:hAnsi="仿宋_GB2312" w:eastAsia="仿宋_GB2312"/>
          <w:color w:val="auto"/>
          <w:sz w:val="32"/>
          <w:szCs w:val="32"/>
        </w:rPr>
        <w:t>年度政府采购支出总额</w:t>
      </w:r>
      <w:r>
        <w:rPr>
          <w:rFonts w:hint="eastAsia" w:ascii="仿宋_GB2312" w:hAnsi="仿宋_GB2312" w:eastAsia="仿宋_GB2312"/>
          <w:color w:val="auto"/>
          <w:sz w:val="32"/>
          <w:szCs w:val="32"/>
          <w:lang w:val="en-US" w:eastAsia="zh-CN"/>
        </w:rPr>
        <w:t>2.66</w:t>
      </w:r>
      <w:r>
        <w:rPr>
          <w:rFonts w:hint="eastAsia" w:ascii="仿宋_GB2312" w:hAnsi="仿宋_GB2312" w:eastAsia="仿宋_GB2312"/>
          <w:color w:val="auto"/>
          <w:sz w:val="32"/>
          <w:szCs w:val="32"/>
        </w:rPr>
        <w:t>万元，其中：政府采购货物支出</w:t>
      </w:r>
      <w:r>
        <w:rPr>
          <w:rFonts w:hint="eastAsia" w:ascii="仿宋_GB2312" w:hAnsi="仿宋_GB2312" w:eastAsia="仿宋_GB2312"/>
          <w:color w:val="auto"/>
          <w:sz w:val="32"/>
          <w:szCs w:val="32"/>
          <w:lang w:val="en-US" w:eastAsia="zh-CN"/>
        </w:rPr>
        <w:t>2.66</w:t>
      </w:r>
      <w:r>
        <w:rPr>
          <w:rFonts w:hint="eastAsia" w:ascii="仿宋_GB2312" w:hAnsi="仿宋_GB2312" w:eastAsia="仿宋_GB2312"/>
          <w:color w:val="auto"/>
          <w:sz w:val="32"/>
          <w:szCs w:val="32"/>
        </w:rPr>
        <w:t>万元、政府采购工程支出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万元、政府采购服务支出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万元。授予中小企业合同金额</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万元，占政府采购支出总额的</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%，其中：授予小微企业合同金额  万元，占授予中小企业合同金额的</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；货物采购授予中小企业合同金额占货物支出金额的0%，工程采购授予中小企业合同金额占工程支出金额的0%，服务采购授予中小企业合同金额占服务支出金额的0%。</w:t>
      </w:r>
    </w:p>
    <w:p w14:paraId="0E4736DD">
      <w:pPr>
        <w:ind w:firstLine="630"/>
        <w:jc w:val="left"/>
        <w:rPr>
          <w:rFonts w:hint="eastAsia" w:ascii="黑体" w:hAnsi="黑体" w:eastAsia="黑体"/>
          <w:sz w:val="32"/>
          <w:szCs w:val="32"/>
        </w:rPr>
      </w:pPr>
      <w:r>
        <w:rPr>
          <w:rFonts w:hint="eastAsia" w:ascii="黑体" w:hAnsi="黑体" w:eastAsia="黑体"/>
          <w:sz w:val="32"/>
          <w:szCs w:val="32"/>
        </w:rPr>
        <w:t>八、国有资产占用情况说明。</w:t>
      </w:r>
    </w:p>
    <w:p w14:paraId="44D5FFEA">
      <w:pPr>
        <w:ind w:firstLine="630"/>
        <w:jc w:val="left"/>
        <w:rPr>
          <w:rFonts w:hint="eastAsia" w:ascii="仿宋" w:hAnsi="仿宋" w:eastAsia="仿宋"/>
          <w:kern w:val="0"/>
          <w:sz w:val="32"/>
          <w:szCs w:val="32"/>
          <w:lang w:val="en-US" w:eastAsia="zh-CN"/>
        </w:rPr>
      </w:pPr>
      <w:r>
        <w:rPr>
          <w:rFonts w:hint="eastAsia" w:ascii="仿宋" w:hAnsi="仿宋" w:eastAsia="仿宋"/>
          <w:kern w:val="0"/>
          <w:sz w:val="32"/>
          <w:szCs w:val="32"/>
        </w:rPr>
        <w:t>截</w:t>
      </w:r>
      <w:r>
        <w:rPr>
          <w:rFonts w:hint="eastAsia" w:ascii="仿宋" w:hAnsi="仿宋" w:eastAsia="仿宋"/>
          <w:kern w:val="0"/>
          <w:sz w:val="32"/>
          <w:szCs w:val="32"/>
          <w:lang w:val="en-US" w:eastAsia="zh-CN"/>
        </w:rPr>
        <w:t>至</w:t>
      </w:r>
      <w:bookmarkStart w:id="0" w:name="_GoBack"/>
      <w:bookmarkEnd w:id="0"/>
      <w:r>
        <w:rPr>
          <w:rFonts w:hint="eastAsia" w:ascii="仿宋" w:hAnsi="仿宋" w:eastAsia="仿宋"/>
          <w:kern w:val="0"/>
          <w:sz w:val="32"/>
          <w:szCs w:val="32"/>
          <w:lang w:eastAsia="zh-CN"/>
        </w:rPr>
        <w:t>2022</w:t>
      </w:r>
      <w:r>
        <w:rPr>
          <w:rFonts w:hint="eastAsia" w:ascii="仿宋" w:hAnsi="仿宋" w:eastAsia="仿宋"/>
          <w:kern w:val="0"/>
          <w:sz w:val="32"/>
          <w:szCs w:val="32"/>
        </w:rPr>
        <w:t>年12月31日，本</w:t>
      </w:r>
      <w:r>
        <w:rPr>
          <w:rFonts w:hint="eastAsia" w:ascii="仿宋" w:hAnsi="仿宋" w:eastAsia="仿宋"/>
          <w:kern w:val="0"/>
          <w:sz w:val="32"/>
          <w:szCs w:val="32"/>
          <w:lang w:eastAsia="zh-CN"/>
        </w:rPr>
        <w:t>单位</w:t>
      </w:r>
      <w:r>
        <w:rPr>
          <w:rFonts w:hint="eastAsia" w:ascii="仿宋" w:hAnsi="仿宋" w:eastAsia="仿宋"/>
          <w:kern w:val="0"/>
          <w:sz w:val="32"/>
          <w:szCs w:val="32"/>
        </w:rPr>
        <w:t>国有资产占用情况见</w:t>
      </w:r>
      <w:r>
        <w:rPr>
          <w:rFonts w:hint="eastAsia" w:ascii="仿宋" w:hAnsi="仿宋" w:eastAsia="仿宋"/>
          <w:kern w:val="0"/>
          <w:sz w:val="32"/>
          <w:szCs w:val="32"/>
          <w:lang w:val="en-US" w:eastAsia="zh-CN"/>
        </w:rPr>
        <w:t>公开10</w:t>
      </w:r>
      <w:r>
        <w:rPr>
          <w:rFonts w:hint="eastAsia" w:ascii="仿宋" w:hAnsi="仿宋" w:eastAsia="仿宋"/>
          <w:kern w:val="0"/>
          <w:sz w:val="32"/>
          <w:szCs w:val="32"/>
        </w:rPr>
        <w:t>表《国有资产占用情况表》</w:t>
      </w:r>
      <w:r>
        <w:rPr>
          <w:rFonts w:hint="eastAsia" w:ascii="仿宋" w:hAnsi="仿宋" w:eastAsia="仿宋"/>
          <w:kern w:val="0"/>
          <w:sz w:val="32"/>
          <w:szCs w:val="32"/>
          <w:lang w:val="en-US" w:eastAsia="zh-CN"/>
        </w:rPr>
        <w:t>。本单位共有车辆0辆；单位价值50万元以上通用设备0台（套）；单位价值100万元以上专用设备0台（套）。</w:t>
      </w:r>
    </w:p>
    <w:p w14:paraId="5A4890C9">
      <w:pPr>
        <w:ind w:firstLine="630"/>
        <w:jc w:val="left"/>
        <w:rPr>
          <w:rFonts w:hint="eastAsia" w:ascii="仿宋" w:hAnsi="仿宋" w:eastAsia="仿宋" w:cs="仿宋"/>
          <w:b/>
          <w:bCs/>
          <w:sz w:val="32"/>
          <w:szCs w:val="32"/>
          <w:lang w:val="en-US" w:eastAsia="zh-CN"/>
        </w:rPr>
      </w:pPr>
      <w:r>
        <w:rPr>
          <w:rFonts w:hint="eastAsia" w:ascii="黑体" w:hAnsi="黑体" w:eastAsia="黑体"/>
          <w:sz w:val="32"/>
          <w:szCs w:val="32"/>
        </w:rPr>
        <w:t>九、预算绩效情况说明</w:t>
      </w:r>
    </w:p>
    <w:p w14:paraId="7EEB0059">
      <w:pPr>
        <w:autoSpaceDE w:val="0"/>
        <w:autoSpaceDN w:val="0"/>
        <w:adjustRightInd w:val="0"/>
        <w:spacing w:line="360" w:lineRule="auto"/>
        <w:ind w:firstLine="640" w:firstLineChars="200"/>
        <w:jc w:val="left"/>
        <w:rPr>
          <w:rFonts w:hint="eastAsia" w:ascii="仿宋" w:hAnsi="仿宋" w:eastAsia="仿宋" w:cs="仿宋_GB2312"/>
          <w:kern w:val="0"/>
          <w:sz w:val="32"/>
          <w:szCs w:val="32"/>
        </w:rPr>
      </w:pPr>
      <w:r>
        <w:rPr>
          <w:rFonts w:hint="eastAsia" w:ascii="仿宋" w:hAnsi="仿宋" w:eastAsia="仿宋" w:cs="仿宋_GB2312"/>
          <w:kern w:val="0"/>
          <w:sz w:val="32"/>
          <w:szCs w:val="32"/>
        </w:rPr>
        <w:t>（一）绩效管理工作开展情况。</w:t>
      </w:r>
    </w:p>
    <w:p w14:paraId="331568EB">
      <w:pPr>
        <w:autoSpaceDE w:val="0"/>
        <w:autoSpaceDN w:val="0"/>
        <w:adjustRightInd w:val="0"/>
        <w:spacing w:line="360" w:lineRule="auto"/>
        <w:ind w:firstLine="640" w:firstLineChars="200"/>
        <w:jc w:val="left"/>
        <w:rPr>
          <w:rFonts w:hint="eastAsia" w:ascii="仿宋" w:hAnsi="仿宋" w:eastAsia="仿宋" w:cs="仿宋_GB2312"/>
          <w:kern w:val="0"/>
          <w:sz w:val="32"/>
          <w:szCs w:val="32"/>
        </w:rPr>
      </w:pPr>
      <w:r>
        <w:rPr>
          <w:rFonts w:hint="eastAsia" w:ascii="仿宋" w:hAnsi="仿宋" w:eastAsia="仿宋" w:cs="仿宋_GB2312"/>
          <w:kern w:val="0"/>
          <w:sz w:val="32"/>
          <w:szCs w:val="32"/>
        </w:rPr>
        <w:t>根据预算绩效管理要求，我</w:t>
      </w:r>
      <w:r>
        <w:rPr>
          <w:rFonts w:hint="eastAsia" w:ascii="仿宋" w:hAnsi="仿宋" w:eastAsia="仿宋" w:cs="仿宋_GB2312"/>
          <w:kern w:val="0"/>
          <w:sz w:val="32"/>
          <w:szCs w:val="32"/>
          <w:lang w:val="en-US" w:eastAsia="zh-CN"/>
        </w:rPr>
        <w:t>单位</w:t>
      </w:r>
      <w:r>
        <w:rPr>
          <w:rFonts w:hint="eastAsia" w:ascii="仿宋" w:hAnsi="仿宋" w:eastAsia="仿宋" w:cs="仿宋_GB2312"/>
          <w:kern w:val="0"/>
          <w:sz w:val="32"/>
          <w:szCs w:val="32"/>
        </w:rPr>
        <w:t>组织对</w:t>
      </w:r>
      <w:r>
        <w:rPr>
          <w:rFonts w:hint="eastAsia" w:ascii="仿宋" w:hAnsi="仿宋" w:eastAsia="仿宋" w:cs="仿宋_GB2312"/>
          <w:kern w:val="0"/>
          <w:sz w:val="32"/>
          <w:szCs w:val="32"/>
          <w:lang w:eastAsia="zh-CN"/>
        </w:rPr>
        <w:t>2022</w:t>
      </w:r>
      <w:r>
        <w:rPr>
          <w:rFonts w:hint="eastAsia" w:ascii="仿宋" w:hAnsi="仿宋" w:eastAsia="仿宋" w:cs="仿宋_GB2312"/>
          <w:kern w:val="0"/>
          <w:sz w:val="32"/>
          <w:szCs w:val="32"/>
        </w:rPr>
        <w:t>年度</w:t>
      </w:r>
      <w:r>
        <w:rPr>
          <w:rFonts w:hint="eastAsia" w:ascii="仿宋" w:hAnsi="仿宋" w:eastAsia="仿宋" w:cs="仿宋_GB2312"/>
          <w:kern w:val="0"/>
          <w:sz w:val="32"/>
          <w:szCs w:val="32"/>
          <w:lang w:val="en-US" w:eastAsia="zh-CN"/>
        </w:rPr>
        <w:t>部门预算</w:t>
      </w:r>
      <w:r>
        <w:rPr>
          <w:rFonts w:hint="eastAsia" w:ascii="仿宋" w:hAnsi="仿宋" w:eastAsia="仿宋" w:cs="仿宋_GB2312"/>
          <w:kern w:val="0"/>
          <w:sz w:val="32"/>
          <w:szCs w:val="32"/>
        </w:rPr>
        <w:t>项目支出</w:t>
      </w:r>
      <w:r>
        <w:rPr>
          <w:rFonts w:hint="eastAsia" w:ascii="仿宋" w:hAnsi="仿宋" w:eastAsia="仿宋" w:cs="仿宋_GB2312"/>
          <w:kern w:val="0"/>
          <w:sz w:val="32"/>
          <w:szCs w:val="32"/>
          <w:lang w:val="en-US" w:eastAsia="zh-CN"/>
        </w:rPr>
        <w:t>所有二级项目4个</w:t>
      </w:r>
      <w:r>
        <w:rPr>
          <w:rFonts w:hint="eastAsia" w:ascii="仿宋" w:hAnsi="仿宋" w:eastAsia="仿宋" w:cs="仿宋_GB2312"/>
          <w:kern w:val="0"/>
          <w:sz w:val="32"/>
          <w:szCs w:val="32"/>
        </w:rPr>
        <w:t>全面开展绩效自评，共涉及资金</w:t>
      </w:r>
      <w:r>
        <w:rPr>
          <w:rFonts w:hint="eastAsia" w:ascii="仿宋" w:hAnsi="仿宋" w:eastAsia="仿宋" w:cs="仿宋_GB2312"/>
          <w:kern w:val="0"/>
          <w:sz w:val="32"/>
          <w:szCs w:val="32"/>
          <w:lang w:val="en-US" w:eastAsia="zh-CN"/>
        </w:rPr>
        <w:t>210.02</w:t>
      </w:r>
      <w:r>
        <w:rPr>
          <w:rFonts w:hint="eastAsia" w:ascii="仿宋" w:hAnsi="仿宋" w:eastAsia="仿宋" w:cs="仿宋_GB2312"/>
          <w:kern w:val="0"/>
          <w:sz w:val="32"/>
          <w:szCs w:val="32"/>
        </w:rPr>
        <w:t>万元，占项目支出总额的</w:t>
      </w:r>
      <w:r>
        <w:rPr>
          <w:rFonts w:hint="eastAsia" w:ascii="仿宋" w:hAnsi="仿宋" w:eastAsia="仿宋" w:cs="仿宋_GB2312"/>
          <w:kern w:val="0"/>
          <w:sz w:val="32"/>
          <w:szCs w:val="32"/>
          <w:lang w:val="en-US" w:eastAsia="zh-CN"/>
        </w:rPr>
        <w:t>100</w:t>
      </w:r>
      <w:r>
        <w:rPr>
          <w:rFonts w:hint="eastAsia" w:ascii="仿宋" w:hAnsi="仿宋" w:eastAsia="仿宋" w:cs="仿宋_GB2312"/>
          <w:kern w:val="0"/>
          <w:sz w:val="32"/>
          <w:szCs w:val="32"/>
        </w:rPr>
        <w:t xml:space="preserve">%。  </w:t>
      </w:r>
    </w:p>
    <w:p w14:paraId="713404B6">
      <w:pPr>
        <w:autoSpaceDE w:val="0"/>
        <w:autoSpaceDN w:val="0"/>
        <w:adjustRightInd w:val="0"/>
        <w:spacing w:line="360" w:lineRule="auto"/>
        <w:ind w:firstLine="585"/>
        <w:jc w:val="left"/>
        <w:rPr>
          <w:rFonts w:hint="default" w:ascii="仿宋" w:hAnsi="仿宋" w:eastAsia="仿宋" w:cs="仿宋_GB2312"/>
          <w:kern w:val="0"/>
          <w:sz w:val="32"/>
          <w:szCs w:val="32"/>
          <w:lang w:val="en-US" w:eastAsia="zh-CN"/>
        </w:rPr>
      </w:pPr>
      <w:r>
        <w:rPr>
          <w:rFonts w:hint="eastAsia" w:ascii="仿宋" w:hAnsi="仿宋" w:eastAsia="仿宋" w:cs="仿宋_GB2312"/>
          <w:kern w:val="0"/>
          <w:sz w:val="32"/>
          <w:szCs w:val="32"/>
        </w:rPr>
        <w:t>（二）</w:t>
      </w:r>
      <w:r>
        <w:rPr>
          <w:rFonts w:hint="eastAsia" w:ascii="仿宋" w:hAnsi="仿宋" w:eastAsia="仿宋" w:cs="仿宋_GB2312"/>
          <w:kern w:val="0"/>
          <w:sz w:val="32"/>
          <w:szCs w:val="32"/>
          <w:lang w:eastAsia="zh-CN"/>
        </w:rPr>
        <w:t>单位</w:t>
      </w:r>
      <w:r>
        <w:rPr>
          <w:rFonts w:hint="eastAsia" w:ascii="仿宋" w:hAnsi="仿宋" w:eastAsia="仿宋" w:cs="仿宋_GB2312"/>
          <w:kern w:val="0"/>
          <w:sz w:val="32"/>
          <w:szCs w:val="32"/>
        </w:rPr>
        <w:t>决算中项目绩效自评</w:t>
      </w:r>
      <w:r>
        <w:rPr>
          <w:rFonts w:hint="eastAsia" w:ascii="仿宋" w:hAnsi="仿宋" w:eastAsia="仿宋" w:cs="仿宋_GB2312"/>
          <w:kern w:val="0"/>
          <w:sz w:val="32"/>
          <w:szCs w:val="32"/>
          <w:lang w:val="en-US" w:eastAsia="zh-CN"/>
        </w:rPr>
        <w:t>情况</w:t>
      </w:r>
      <w:r>
        <w:rPr>
          <w:rFonts w:hint="eastAsia" w:ascii="仿宋" w:hAnsi="仿宋" w:eastAsia="仿宋" w:cs="仿宋_GB2312"/>
          <w:kern w:val="0"/>
          <w:sz w:val="32"/>
          <w:szCs w:val="32"/>
        </w:rPr>
        <w:t>。</w:t>
      </w:r>
    </w:p>
    <w:p w14:paraId="5003EC37">
      <w:pPr>
        <w:widowControl/>
        <w:spacing w:line="600" w:lineRule="exact"/>
        <w:ind w:firstLine="640" w:firstLineChars="200"/>
        <w:jc w:val="both"/>
        <w:rPr>
          <w:rFonts w:hint="eastAsia" w:ascii="仿宋" w:hAnsi="仿宋" w:eastAsia="仿宋" w:cs="仿宋_GB2312"/>
          <w:kern w:val="0"/>
          <w:sz w:val="32"/>
          <w:szCs w:val="32"/>
          <w:lang w:val="en-US" w:eastAsia="zh-CN"/>
        </w:rPr>
      </w:pPr>
      <w:r>
        <w:rPr>
          <w:rFonts w:hint="eastAsia" w:ascii="仿宋" w:hAnsi="仿宋" w:eastAsia="仿宋" w:cs="仿宋_GB2312"/>
          <w:kern w:val="0"/>
          <w:sz w:val="32"/>
          <w:szCs w:val="32"/>
          <w:lang w:val="en-US" w:eastAsia="zh-CN"/>
        </w:rPr>
        <w:t>自主择业军转干部相关经费</w:t>
      </w:r>
      <w:r>
        <w:rPr>
          <w:rFonts w:hint="eastAsia" w:ascii="仿宋" w:hAnsi="仿宋" w:eastAsia="仿宋" w:cs="仿宋_GB2312"/>
          <w:kern w:val="0"/>
          <w:sz w:val="32"/>
          <w:szCs w:val="32"/>
        </w:rPr>
        <w:t>项目绩效自评综述</w:t>
      </w: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rPr>
        <w:t>项目全年预算数为</w:t>
      </w:r>
      <w:r>
        <w:rPr>
          <w:rFonts w:hint="eastAsia" w:ascii="仿宋" w:hAnsi="仿宋" w:eastAsia="仿宋" w:cs="仿宋_GB2312"/>
          <w:kern w:val="0"/>
          <w:sz w:val="32"/>
          <w:szCs w:val="32"/>
          <w:lang w:val="en-US" w:eastAsia="zh-CN"/>
        </w:rPr>
        <w:t>140</w:t>
      </w:r>
      <w:r>
        <w:rPr>
          <w:rFonts w:hint="eastAsia" w:ascii="仿宋" w:hAnsi="仿宋" w:eastAsia="仿宋" w:cs="仿宋_GB2312"/>
          <w:kern w:val="0"/>
          <w:sz w:val="32"/>
          <w:szCs w:val="32"/>
        </w:rPr>
        <w:t>万元，执行数为</w:t>
      </w:r>
      <w:r>
        <w:rPr>
          <w:rFonts w:hint="eastAsia" w:ascii="仿宋" w:hAnsi="仿宋" w:eastAsia="仿宋" w:cs="仿宋_GB2312"/>
          <w:kern w:val="0"/>
          <w:sz w:val="32"/>
          <w:szCs w:val="32"/>
          <w:lang w:val="en-US" w:eastAsia="zh-CN"/>
        </w:rPr>
        <w:t>133.28</w:t>
      </w:r>
      <w:r>
        <w:rPr>
          <w:rFonts w:hint="eastAsia" w:ascii="仿宋" w:hAnsi="仿宋" w:eastAsia="仿宋" w:cs="仿宋_GB2312"/>
          <w:kern w:val="0"/>
          <w:sz w:val="32"/>
          <w:szCs w:val="32"/>
        </w:rPr>
        <w:t>万元，完成预算的</w:t>
      </w:r>
      <w:r>
        <w:rPr>
          <w:rFonts w:hint="eastAsia" w:ascii="仿宋" w:hAnsi="仿宋" w:eastAsia="仿宋" w:cs="仿宋_GB2312"/>
          <w:kern w:val="0"/>
          <w:sz w:val="32"/>
          <w:szCs w:val="32"/>
          <w:lang w:val="en-US" w:eastAsia="zh-CN"/>
        </w:rPr>
        <w:t>95.2</w:t>
      </w:r>
      <w:r>
        <w:rPr>
          <w:rFonts w:hint="eastAsia" w:ascii="仿宋" w:hAnsi="仿宋" w:eastAsia="仿宋" w:cs="仿宋_GB2312"/>
          <w:kern w:val="0"/>
          <w:sz w:val="32"/>
          <w:szCs w:val="32"/>
        </w:rPr>
        <w:t>%。</w:t>
      </w:r>
      <w:r>
        <w:rPr>
          <w:rFonts w:hint="eastAsia" w:ascii="仿宋" w:hAnsi="仿宋" w:eastAsia="仿宋" w:cs="仿宋_GB2312"/>
          <w:kern w:val="0"/>
          <w:sz w:val="32"/>
          <w:szCs w:val="32"/>
          <w:lang w:val="en-US" w:eastAsia="zh-CN"/>
        </w:rPr>
        <w:t>项目绩效目标完成情况是</w:t>
      </w:r>
      <w:r>
        <w:rPr>
          <w:rFonts w:hint="eastAsia" w:ascii="仿宋" w:hAnsi="仿宋" w:eastAsia="仿宋" w:cs="仿宋_GB2312"/>
          <w:kern w:val="0"/>
          <w:sz w:val="32"/>
          <w:szCs w:val="32"/>
        </w:rPr>
        <w:t>：</w:t>
      </w:r>
      <w:r>
        <w:rPr>
          <w:rFonts w:hint="eastAsia" w:ascii="仿宋" w:hAnsi="仿宋" w:eastAsia="仿宋" w:cs="仿宋_GB2312"/>
          <w:kern w:val="0"/>
          <w:sz w:val="32"/>
          <w:szCs w:val="32"/>
          <w:lang w:val="en-US" w:eastAsia="zh-CN"/>
        </w:rPr>
        <w:t>完成发放112名自主择业军转干部冬季取暖费及每月缴纳医疗保险费</w:t>
      </w:r>
      <w:r>
        <w:rPr>
          <w:rFonts w:hint="eastAsia" w:ascii="仿宋" w:hAnsi="仿宋" w:eastAsia="仿宋" w:cs="仿宋_GB2312"/>
          <w:kern w:val="0"/>
          <w:sz w:val="32"/>
          <w:szCs w:val="32"/>
        </w:rPr>
        <w:t>。发现的问题及原因：</w:t>
      </w:r>
      <w:r>
        <w:rPr>
          <w:rFonts w:hint="eastAsia" w:ascii="仿宋" w:hAnsi="仿宋" w:eastAsia="仿宋" w:cs="仿宋_GB2312"/>
          <w:kern w:val="0"/>
          <w:sz w:val="32"/>
          <w:szCs w:val="32"/>
          <w:lang w:val="en-US" w:eastAsia="zh-CN"/>
        </w:rPr>
        <w:t>无相关问题，完成情况良好。</w:t>
      </w:r>
    </w:p>
    <w:p w14:paraId="2E5439FD">
      <w:pPr>
        <w:pStyle w:val="2"/>
        <w:rPr>
          <w:rFonts w:hint="eastAsia" w:ascii="仿宋" w:hAnsi="仿宋" w:eastAsia="仿宋" w:cs="仿宋_GB2312"/>
          <w:kern w:val="0"/>
          <w:sz w:val="32"/>
          <w:szCs w:val="32"/>
          <w:lang w:val="en-US" w:eastAsia="zh-CN"/>
        </w:rPr>
      </w:pPr>
    </w:p>
    <w:p w14:paraId="52E8ACF4">
      <w:pPr>
        <w:pStyle w:val="2"/>
        <w:rPr>
          <w:rFonts w:hint="eastAsia" w:ascii="仿宋" w:hAnsi="仿宋" w:eastAsia="仿宋" w:cs="仿宋_GB2312"/>
          <w:kern w:val="0"/>
          <w:sz w:val="32"/>
          <w:szCs w:val="32"/>
          <w:lang w:val="en-US" w:eastAsia="zh-CN"/>
        </w:rPr>
      </w:pPr>
    </w:p>
    <w:p w14:paraId="00EA84CF">
      <w:pPr>
        <w:pStyle w:val="2"/>
        <w:rPr>
          <w:rFonts w:hint="eastAsia" w:ascii="仿宋" w:hAnsi="仿宋" w:eastAsia="仿宋" w:cs="仿宋_GB2312"/>
          <w:kern w:val="0"/>
          <w:sz w:val="32"/>
          <w:szCs w:val="32"/>
          <w:lang w:val="en-US" w:eastAsia="zh-CN"/>
        </w:rPr>
      </w:pPr>
    </w:p>
    <w:p w14:paraId="6346931F">
      <w:pPr>
        <w:pStyle w:val="2"/>
        <w:rPr>
          <w:rFonts w:hint="eastAsia" w:ascii="仿宋" w:hAnsi="仿宋" w:eastAsia="仿宋" w:cs="仿宋_GB2312"/>
          <w:kern w:val="0"/>
          <w:sz w:val="32"/>
          <w:szCs w:val="32"/>
          <w:lang w:val="en-US" w:eastAsia="zh-CN"/>
        </w:rPr>
      </w:pPr>
    </w:p>
    <w:p w14:paraId="2B92BD10">
      <w:pPr>
        <w:pStyle w:val="2"/>
        <w:rPr>
          <w:rFonts w:hint="eastAsia" w:ascii="仿宋" w:hAnsi="仿宋" w:eastAsia="仿宋" w:cs="仿宋_GB2312"/>
          <w:kern w:val="0"/>
          <w:sz w:val="32"/>
          <w:szCs w:val="32"/>
          <w:lang w:val="en-US" w:eastAsia="zh-CN"/>
        </w:rPr>
      </w:pPr>
    </w:p>
    <w:p w14:paraId="29E2CE10">
      <w:pPr>
        <w:pStyle w:val="2"/>
        <w:rPr>
          <w:rFonts w:hint="eastAsia" w:ascii="仿宋" w:hAnsi="仿宋" w:eastAsia="仿宋" w:cs="仿宋_GB2312"/>
          <w:kern w:val="0"/>
          <w:sz w:val="32"/>
          <w:szCs w:val="32"/>
          <w:lang w:val="en-US" w:eastAsia="zh-CN"/>
        </w:rPr>
      </w:pPr>
    </w:p>
    <w:p w14:paraId="4AACCF4E">
      <w:pPr>
        <w:pStyle w:val="2"/>
        <w:rPr>
          <w:rFonts w:hint="eastAsia" w:ascii="仿宋" w:hAnsi="仿宋" w:eastAsia="仿宋" w:cs="仿宋_GB2312"/>
          <w:kern w:val="0"/>
          <w:sz w:val="32"/>
          <w:szCs w:val="32"/>
          <w:lang w:val="en-US" w:eastAsia="zh-CN"/>
        </w:rPr>
      </w:pPr>
    </w:p>
    <w:p w14:paraId="3EE133A6">
      <w:pPr>
        <w:pStyle w:val="2"/>
        <w:rPr>
          <w:rFonts w:hint="eastAsia" w:ascii="仿宋" w:hAnsi="仿宋" w:eastAsia="仿宋" w:cs="仿宋_GB2312"/>
          <w:kern w:val="0"/>
          <w:sz w:val="32"/>
          <w:szCs w:val="32"/>
          <w:lang w:val="en-US" w:eastAsia="zh-CN"/>
        </w:rPr>
      </w:pPr>
    </w:p>
    <w:p w14:paraId="127FD727">
      <w:pPr>
        <w:pStyle w:val="2"/>
        <w:rPr>
          <w:rFonts w:hint="eastAsia" w:ascii="仿宋" w:hAnsi="仿宋" w:eastAsia="仿宋" w:cs="仿宋_GB2312"/>
          <w:kern w:val="0"/>
          <w:sz w:val="32"/>
          <w:szCs w:val="32"/>
          <w:lang w:val="en-US" w:eastAsia="zh-CN"/>
        </w:rPr>
      </w:pPr>
    </w:p>
    <w:p w14:paraId="41834F9D">
      <w:pPr>
        <w:pStyle w:val="2"/>
        <w:rPr>
          <w:rFonts w:hint="eastAsia" w:ascii="仿宋" w:hAnsi="仿宋" w:eastAsia="仿宋" w:cs="仿宋_GB2312"/>
          <w:kern w:val="0"/>
          <w:sz w:val="32"/>
          <w:szCs w:val="32"/>
          <w:lang w:val="en-US" w:eastAsia="zh-CN"/>
        </w:rPr>
      </w:pPr>
    </w:p>
    <w:p w14:paraId="59F07D23">
      <w:pPr>
        <w:pStyle w:val="2"/>
        <w:rPr>
          <w:rFonts w:hint="eastAsia" w:ascii="仿宋" w:hAnsi="仿宋" w:eastAsia="仿宋" w:cs="仿宋_GB2312"/>
          <w:kern w:val="0"/>
          <w:sz w:val="32"/>
          <w:szCs w:val="32"/>
          <w:lang w:val="en-US" w:eastAsia="zh-CN"/>
        </w:rPr>
      </w:pPr>
    </w:p>
    <w:p w14:paraId="0071FCB5">
      <w:pPr>
        <w:pStyle w:val="2"/>
        <w:rPr>
          <w:rFonts w:hint="eastAsia" w:ascii="仿宋" w:hAnsi="仿宋" w:eastAsia="仿宋" w:cs="仿宋_GB2312"/>
          <w:kern w:val="0"/>
          <w:sz w:val="32"/>
          <w:szCs w:val="32"/>
          <w:lang w:val="en-US" w:eastAsia="zh-CN"/>
        </w:rPr>
      </w:pPr>
    </w:p>
    <w:p w14:paraId="122AF8BF">
      <w:pPr>
        <w:pStyle w:val="2"/>
        <w:rPr>
          <w:rFonts w:hint="eastAsia" w:ascii="仿宋" w:hAnsi="仿宋" w:eastAsia="仿宋" w:cs="仿宋_GB2312"/>
          <w:kern w:val="0"/>
          <w:sz w:val="32"/>
          <w:szCs w:val="32"/>
          <w:lang w:val="en-US" w:eastAsia="zh-CN"/>
        </w:rPr>
      </w:pPr>
    </w:p>
    <w:p w14:paraId="3BA26E9E">
      <w:pPr>
        <w:pStyle w:val="2"/>
        <w:rPr>
          <w:rFonts w:hint="eastAsia" w:ascii="仿宋" w:hAnsi="仿宋" w:eastAsia="仿宋" w:cs="仿宋_GB2312"/>
          <w:kern w:val="0"/>
          <w:sz w:val="32"/>
          <w:szCs w:val="32"/>
          <w:lang w:val="en-US" w:eastAsia="zh-CN"/>
        </w:rPr>
      </w:pPr>
    </w:p>
    <w:p w14:paraId="16226DA0">
      <w:pPr>
        <w:pStyle w:val="2"/>
        <w:rPr>
          <w:rFonts w:hint="eastAsia"/>
          <w:lang w:val="en-US" w:eastAsia="zh-CN"/>
        </w:rPr>
      </w:pPr>
      <w:r>
        <w:rPr>
          <w:rFonts w:hint="eastAsia" w:ascii="仿宋" w:hAnsi="仿宋" w:eastAsia="仿宋" w:cs="仿宋_GB2312"/>
          <w:kern w:val="0"/>
          <w:sz w:val="32"/>
          <w:szCs w:val="32"/>
          <w:lang w:val="en-US" w:eastAsia="zh-CN"/>
        </w:rPr>
        <w:t>附：《项目支出绩效自评表》</w:t>
      </w:r>
    </w:p>
    <w:tbl>
      <w:tblPr>
        <w:tblStyle w:val="4"/>
        <w:tblW w:w="9080" w:type="dxa"/>
        <w:jc w:val="center"/>
        <w:tblLayout w:type="fixed"/>
        <w:tblCellMar>
          <w:top w:w="0" w:type="dxa"/>
          <w:left w:w="108" w:type="dxa"/>
          <w:bottom w:w="0" w:type="dxa"/>
          <w:right w:w="108" w:type="dxa"/>
        </w:tblCellMar>
      </w:tblPr>
      <w:tblGrid>
        <w:gridCol w:w="588"/>
        <w:gridCol w:w="791"/>
        <w:gridCol w:w="1170"/>
        <w:gridCol w:w="861"/>
        <w:gridCol w:w="1329"/>
        <w:gridCol w:w="1007"/>
        <w:gridCol w:w="986"/>
        <w:gridCol w:w="666"/>
        <w:gridCol w:w="123"/>
        <w:gridCol w:w="528"/>
        <w:gridCol w:w="323"/>
        <w:gridCol w:w="708"/>
      </w:tblGrid>
      <w:tr w14:paraId="7FF33A3D">
        <w:tblPrEx>
          <w:tblCellMar>
            <w:top w:w="0" w:type="dxa"/>
            <w:left w:w="108" w:type="dxa"/>
            <w:bottom w:w="0" w:type="dxa"/>
            <w:right w:w="108" w:type="dxa"/>
          </w:tblCellMar>
        </w:tblPrEx>
        <w:trPr>
          <w:trHeight w:val="605" w:hRule="exact"/>
          <w:jc w:val="center"/>
        </w:trPr>
        <w:tc>
          <w:tcPr>
            <w:tcW w:w="9080" w:type="dxa"/>
            <w:gridSpan w:val="12"/>
            <w:tcBorders>
              <w:top w:val="nil"/>
              <w:left w:val="nil"/>
              <w:bottom w:val="nil"/>
              <w:right w:val="nil"/>
            </w:tcBorders>
            <w:noWrap w:val="0"/>
            <w:vAlign w:val="center"/>
          </w:tcPr>
          <w:p w14:paraId="7A4314AA">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48D6BDC2">
        <w:tblPrEx>
          <w:tblCellMar>
            <w:top w:w="0" w:type="dxa"/>
            <w:left w:w="108" w:type="dxa"/>
            <w:bottom w:w="0" w:type="dxa"/>
            <w:right w:w="108" w:type="dxa"/>
          </w:tblCellMar>
        </w:tblPrEx>
        <w:trPr>
          <w:trHeight w:val="201" w:hRule="atLeast"/>
          <w:jc w:val="center"/>
        </w:trPr>
        <w:tc>
          <w:tcPr>
            <w:tcW w:w="9080" w:type="dxa"/>
            <w:gridSpan w:val="12"/>
            <w:tcBorders>
              <w:top w:val="nil"/>
              <w:left w:val="nil"/>
              <w:bottom w:val="nil"/>
              <w:right w:val="nil"/>
            </w:tcBorders>
            <w:noWrap w:val="0"/>
            <w:vAlign w:val="top"/>
          </w:tcPr>
          <w:p w14:paraId="2B66F1E7">
            <w:pPr>
              <w:widowControl/>
              <w:jc w:val="center"/>
              <w:rPr>
                <w:rFonts w:ascii="宋体" w:hAnsi="宋体" w:eastAsia="宋体" w:cs="宋体"/>
                <w:kern w:val="0"/>
                <w:sz w:val="22"/>
                <w:szCs w:val="22"/>
              </w:rPr>
            </w:pPr>
            <w:r>
              <w:rPr>
                <w:rFonts w:hint="eastAsia" w:ascii="宋体" w:hAnsi="宋体" w:eastAsia="宋体" w:cs="宋体"/>
                <w:kern w:val="0"/>
                <w:sz w:val="22"/>
                <w:szCs w:val="22"/>
              </w:rPr>
              <w:t>（</w:t>
            </w:r>
            <w:r>
              <w:rPr>
                <w:rFonts w:hint="eastAsia" w:ascii="宋体" w:hAnsi="宋体" w:eastAsia="宋体" w:cs="宋体"/>
                <w:kern w:val="0"/>
                <w:sz w:val="22"/>
                <w:szCs w:val="22"/>
                <w:lang w:val="en-US" w:eastAsia="zh-CN"/>
              </w:rPr>
              <w:t>2022</w:t>
            </w:r>
            <w:r>
              <w:rPr>
                <w:rFonts w:hint="eastAsia" w:ascii="宋体" w:hAnsi="宋体" w:eastAsia="宋体" w:cs="宋体"/>
                <w:kern w:val="0"/>
                <w:sz w:val="22"/>
                <w:szCs w:val="22"/>
              </w:rPr>
              <w:t>年度）</w:t>
            </w:r>
          </w:p>
        </w:tc>
      </w:tr>
      <w:tr w14:paraId="39516902">
        <w:tblPrEx>
          <w:tblCellMar>
            <w:top w:w="0" w:type="dxa"/>
            <w:left w:w="108" w:type="dxa"/>
            <w:bottom w:w="0" w:type="dxa"/>
            <w:right w:w="108" w:type="dxa"/>
          </w:tblCellMar>
        </w:tblPrEx>
        <w:trPr>
          <w:trHeight w:val="300" w:hRule="exact"/>
          <w:jc w:val="center"/>
        </w:trPr>
        <w:tc>
          <w:tcPr>
            <w:tcW w:w="1379" w:type="dxa"/>
            <w:gridSpan w:val="2"/>
            <w:tcBorders>
              <w:top w:val="single" w:color="auto" w:sz="4" w:space="0"/>
              <w:left w:val="single" w:color="auto" w:sz="4" w:space="0"/>
              <w:bottom w:val="single" w:color="auto" w:sz="4" w:space="0"/>
              <w:right w:val="single" w:color="auto" w:sz="4" w:space="0"/>
            </w:tcBorders>
            <w:noWrap w:val="0"/>
            <w:vAlign w:val="center"/>
          </w:tcPr>
          <w:p w14:paraId="40471E5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701" w:type="dxa"/>
            <w:gridSpan w:val="10"/>
            <w:tcBorders>
              <w:top w:val="single" w:color="auto" w:sz="4" w:space="0"/>
              <w:left w:val="nil"/>
              <w:bottom w:val="single" w:color="auto" w:sz="4" w:space="0"/>
              <w:right w:val="single" w:color="auto" w:sz="4" w:space="0"/>
            </w:tcBorders>
            <w:noWrap w:val="0"/>
            <w:vAlign w:val="center"/>
          </w:tcPr>
          <w:p w14:paraId="468C03C8">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自主择业军转干部</w:t>
            </w:r>
            <w:r>
              <w:rPr>
                <w:rFonts w:hint="eastAsia" w:ascii="宋体" w:hAnsi="宋体" w:eastAsia="宋体" w:cs="宋体"/>
                <w:kern w:val="0"/>
                <w:sz w:val="18"/>
                <w:szCs w:val="18"/>
                <w:lang w:val="en-US" w:eastAsia="zh-CN"/>
              </w:rPr>
              <w:t>相关经费</w:t>
            </w:r>
          </w:p>
        </w:tc>
      </w:tr>
      <w:tr w14:paraId="49CFD41B">
        <w:tblPrEx>
          <w:tblCellMar>
            <w:top w:w="0" w:type="dxa"/>
            <w:left w:w="108" w:type="dxa"/>
            <w:bottom w:w="0" w:type="dxa"/>
            <w:right w:w="108" w:type="dxa"/>
          </w:tblCellMar>
        </w:tblPrEx>
        <w:trPr>
          <w:trHeight w:val="532" w:hRule="exact"/>
          <w:jc w:val="center"/>
        </w:trPr>
        <w:tc>
          <w:tcPr>
            <w:tcW w:w="1379" w:type="dxa"/>
            <w:gridSpan w:val="2"/>
            <w:tcBorders>
              <w:top w:val="single" w:color="auto" w:sz="4" w:space="0"/>
              <w:left w:val="single" w:color="auto" w:sz="4" w:space="0"/>
              <w:bottom w:val="single" w:color="auto" w:sz="4" w:space="0"/>
              <w:right w:val="single" w:color="auto" w:sz="4" w:space="0"/>
            </w:tcBorders>
            <w:noWrap w:val="0"/>
            <w:vAlign w:val="center"/>
          </w:tcPr>
          <w:p w14:paraId="30D1C8F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367" w:type="dxa"/>
            <w:gridSpan w:val="4"/>
            <w:tcBorders>
              <w:top w:val="single" w:color="auto" w:sz="4" w:space="0"/>
              <w:left w:val="nil"/>
              <w:bottom w:val="single" w:color="auto" w:sz="4" w:space="0"/>
              <w:right w:val="single" w:color="auto" w:sz="4" w:space="0"/>
            </w:tcBorders>
            <w:noWrap w:val="0"/>
            <w:vAlign w:val="center"/>
          </w:tcPr>
          <w:p w14:paraId="64123AC9">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景德镇市退役军人事务局</w:t>
            </w:r>
          </w:p>
        </w:tc>
        <w:tc>
          <w:tcPr>
            <w:tcW w:w="986" w:type="dxa"/>
            <w:tcBorders>
              <w:top w:val="nil"/>
              <w:left w:val="nil"/>
              <w:bottom w:val="single" w:color="auto" w:sz="4" w:space="0"/>
              <w:right w:val="single" w:color="auto" w:sz="4" w:space="0"/>
            </w:tcBorders>
            <w:noWrap w:val="0"/>
            <w:vAlign w:val="center"/>
          </w:tcPr>
          <w:p w14:paraId="56153C8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348" w:type="dxa"/>
            <w:gridSpan w:val="5"/>
            <w:tcBorders>
              <w:top w:val="single" w:color="auto" w:sz="4" w:space="0"/>
              <w:left w:val="nil"/>
              <w:bottom w:val="single" w:color="auto" w:sz="4" w:space="0"/>
              <w:right w:val="single" w:color="auto" w:sz="4" w:space="0"/>
            </w:tcBorders>
            <w:noWrap w:val="0"/>
            <w:vAlign w:val="center"/>
          </w:tcPr>
          <w:p w14:paraId="1498ECF3">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景德镇市退役军人服务中心</w:t>
            </w:r>
          </w:p>
        </w:tc>
      </w:tr>
      <w:tr w14:paraId="627F50FF">
        <w:tblPrEx>
          <w:tblCellMar>
            <w:top w:w="0" w:type="dxa"/>
            <w:left w:w="108" w:type="dxa"/>
            <w:bottom w:w="0" w:type="dxa"/>
            <w:right w:w="108" w:type="dxa"/>
          </w:tblCellMar>
        </w:tblPrEx>
        <w:trPr>
          <w:trHeight w:val="592" w:hRule="exact"/>
          <w:jc w:val="center"/>
        </w:trPr>
        <w:tc>
          <w:tcPr>
            <w:tcW w:w="1379"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9AE882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2031" w:type="dxa"/>
            <w:gridSpan w:val="2"/>
            <w:tcBorders>
              <w:top w:val="single" w:color="auto" w:sz="4" w:space="0"/>
              <w:left w:val="nil"/>
              <w:bottom w:val="single" w:color="auto" w:sz="4" w:space="0"/>
              <w:right w:val="single" w:color="auto" w:sz="4" w:space="0"/>
            </w:tcBorders>
            <w:noWrap w:val="0"/>
            <w:vAlign w:val="center"/>
          </w:tcPr>
          <w:p w14:paraId="7D12BF4A">
            <w:pPr>
              <w:widowControl/>
              <w:spacing w:line="240" w:lineRule="exact"/>
              <w:jc w:val="center"/>
              <w:rPr>
                <w:rFonts w:ascii="宋体" w:hAnsi="宋体" w:eastAsia="宋体" w:cs="宋体"/>
                <w:kern w:val="0"/>
                <w:sz w:val="18"/>
                <w:szCs w:val="18"/>
              </w:rPr>
            </w:pPr>
          </w:p>
        </w:tc>
        <w:tc>
          <w:tcPr>
            <w:tcW w:w="1329" w:type="dxa"/>
            <w:tcBorders>
              <w:top w:val="nil"/>
              <w:left w:val="nil"/>
              <w:bottom w:val="single" w:color="auto" w:sz="4" w:space="0"/>
              <w:right w:val="single" w:color="auto" w:sz="4" w:space="0"/>
            </w:tcBorders>
            <w:noWrap w:val="0"/>
            <w:vAlign w:val="center"/>
          </w:tcPr>
          <w:p w14:paraId="0506554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007" w:type="dxa"/>
            <w:tcBorders>
              <w:top w:val="nil"/>
              <w:left w:val="nil"/>
              <w:bottom w:val="single" w:color="auto" w:sz="4" w:space="0"/>
              <w:right w:val="single" w:color="auto" w:sz="4" w:space="0"/>
            </w:tcBorders>
            <w:noWrap w:val="0"/>
            <w:vAlign w:val="center"/>
          </w:tcPr>
          <w:p w14:paraId="351DE8F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986" w:type="dxa"/>
            <w:tcBorders>
              <w:top w:val="nil"/>
              <w:left w:val="nil"/>
              <w:bottom w:val="single" w:color="auto" w:sz="4" w:space="0"/>
              <w:right w:val="single" w:color="auto" w:sz="4" w:space="0"/>
            </w:tcBorders>
            <w:noWrap w:val="0"/>
            <w:vAlign w:val="center"/>
          </w:tcPr>
          <w:p w14:paraId="3E84F1E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89" w:type="dxa"/>
            <w:gridSpan w:val="2"/>
            <w:tcBorders>
              <w:top w:val="nil"/>
              <w:left w:val="nil"/>
              <w:bottom w:val="single" w:color="auto" w:sz="4" w:space="0"/>
              <w:right w:val="single" w:color="auto" w:sz="4" w:space="0"/>
            </w:tcBorders>
            <w:noWrap w:val="0"/>
            <w:vAlign w:val="center"/>
          </w:tcPr>
          <w:p w14:paraId="596687D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14:paraId="60EC369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noWrap w:val="0"/>
            <w:vAlign w:val="center"/>
          </w:tcPr>
          <w:p w14:paraId="4AF6370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22CF7655">
        <w:tblPrEx>
          <w:tblCellMar>
            <w:top w:w="0" w:type="dxa"/>
            <w:left w:w="108" w:type="dxa"/>
            <w:bottom w:w="0" w:type="dxa"/>
            <w:right w:w="108" w:type="dxa"/>
          </w:tblCellMar>
        </w:tblPrEx>
        <w:trPr>
          <w:trHeight w:val="300" w:hRule="exact"/>
          <w:jc w:val="center"/>
        </w:trPr>
        <w:tc>
          <w:tcPr>
            <w:tcW w:w="1379"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A2DF618">
            <w:pPr>
              <w:widowControl/>
              <w:spacing w:line="240" w:lineRule="exact"/>
              <w:jc w:val="center"/>
              <w:rPr>
                <w:rFonts w:ascii="宋体" w:hAnsi="宋体" w:eastAsia="宋体" w:cs="宋体"/>
                <w:kern w:val="0"/>
                <w:sz w:val="18"/>
                <w:szCs w:val="18"/>
              </w:rPr>
            </w:pPr>
          </w:p>
        </w:tc>
        <w:tc>
          <w:tcPr>
            <w:tcW w:w="2031" w:type="dxa"/>
            <w:gridSpan w:val="2"/>
            <w:tcBorders>
              <w:top w:val="single" w:color="auto" w:sz="4" w:space="0"/>
              <w:left w:val="nil"/>
              <w:bottom w:val="single" w:color="auto" w:sz="4" w:space="0"/>
              <w:right w:val="single" w:color="auto" w:sz="4" w:space="0"/>
            </w:tcBorders>
            <w:noWrap w:val="0"/>
            <w:vAlign w:val="center"/>
          </w:tcPr>
          <w:p w14:paraId="46AE7F15">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329" w:type="dxa"/>
            <w:tcBorders>
              <w:top w:val="nil"/>
              <w:left w:val="nil"/>
              <w:bottom w:val="single" w:color="auto" w:sz="4" w:space="0"/>
              <w:right w:val="single" w:color="auto" w:sz="4" w:space="0"/>
            </w:tcBorders>
            <w:noWrap w:val="0"/>
            <w:vAlign w:val="center"/>
          </w:tcPr>
          <w:p w14:paraId="2FC1AB92">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140</w:t>
            </w:r>
          </w:p>
        </w:tc>
        <w:tc>
          <w:tcPr>
            <w:tcW w:w="1007" w:type="dxa"/>
            <w:tcBorders>
              <w:top w:val="nil"/>
              <w:left w:val="nil"/>
              <w:bottom w:val="single" w:color="auto" w:sz="4" w:space="0"/>
              <w:right w:val="single" w:color="auto" w:sz="4" w:space="0"/>
            </w:tcBorders>
            <w:noWrap w:val="0"/>
            <w:vAlign w:val="center"/>
          </w:tcPr>
          <w:p w14:paraId="45268191">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140</w:t>
            </w:r>
          </w:p>
        </w:tc>
        <w:tc>
          <w:tcPr>
            <w:tcW w:w="986" w:type="dxa"/>
            <w:tcBorders>
              <w:top w:val="nil"/>
              <w:left w:val="nil"/>
              <w:bottom w:val="single" w:color="auto" w:sz="4" w:space="0"/>
              <w:right w:val="single" w:color="auto" w:sz="4" w:space="0"/>
            </w:tcBorders>
            <w:noWrap w:val="0"/>
            <w:vAlign w:val="center"/>
          </w:tcPr>
          <w:p w14:paraId="6BDB621D">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133.28</w:t>
            </w:r>
          </w:p>
        </w:tc>
        <w:tc>
          <w:tcPr>
            <w:tcW w:w="789" w:type="dxa"/>
            <w:gridSpan w:val="2"/>
            <w:tcBorders>
              <w:top w:val="nil"/>
              <w:left w:val="nil"/>
              <w:bottom w:val="single" w:color="auto" w:sz="4" w:space="0"/>
              <w:right w:val="single" w:color="auto" w:sz="4" w:space="0"/>
            </w:tcBorders>
            <w:noWrap w:val="0"/>
            <w:vAlign w:val="center"/>
          </w:tcPr>
          <w:p w14:paraId="65E0379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14:paraId="3415A7B8">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95.2%</w:t>
            </w:r>
          </w:p>
        </w:tc>
        <w:tc>
          <w:tcPr>
            <w:tcW w:w="708" w:type="dxa"/>
            <w:tcBorders>
              <w:top w:val="nil"/>
              <w:left w:val="nil"/>
              <w:bottom w:val="single" w:color="auto" w:sz="4" w:space="0"/>
              <w:right w:val="single" w:color="auto" w:sz="4" w:space="0"/>
            </w:tcBorders>
            <w:noWrap w:val="0"/>
            <w:vAlign w:val="center"/>
          </w:tcPr>
          <w:p w14:paraId="1CBE2C92">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9.52</w:t>
            </w:r>
          </w:p>
        </w:tc>
      </w:tr>
      <w:tr w14:paraId="50FE3E35">
        <w:tblPrEx>
          <w:tblCellMar>
            <w:top w:w="0" w:type="dxa"/>
            <w:left w:w="108" w:type="dxa"/>
            <w:bottom w:w="0" w:type="dxa"/>
            <w:right w:w="108" w:type="dxa"/>
          </w:tblCellMar>
        </w:tblPrEx>
        <w:trPr>
          <w:trHeight w:val="275" w:hRule="exact"/>
          <w:jc w:val="center"/>
        </w:trPr>
        <w:tc>
          <w:tcPr>
            <w:tcW w:w="1379"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4F35219">
            <w:pPr>
              <w:widowControl/>
              <w:spacing w:line="240" w:lineRule="exact"/>
              <w:jc w:val="center"/>
              <w:rPr>
                <w:rFonts w:ascii="宋体" w:hAnsi="宋体" w:eastAsia="宋体" w:cs="宋体"/>
                <w:kern w:val="0"/>
                <w:sz w:val="18"/>
                <w:szCs w:val="18"/>
              </w:rPr>
            </w:pPr>
          </w:p>
        </w:tc>
        <w:tc>
          <w:tcPr>
            <w:tcW w:w="2031" w:type="dxa"/>
            <w:gridSpan w:val="2"/>
            <w:tcBorders>
              <w:top w:val="single" w:color="auto" w:sz="4" w:space="0"/>
              <w:left w:val="nil"/>
              <w:bottom w:val="single" w:color="auto" w:sz="4" w:space="0"/>
              <w:right w:val="single" w:color="auto" w:sz="4" w:space="0"/>
            </w:tcBorders>
            <w:noWrap w:val="0"/>
            <w:vAlign w:val="center"/>
          </w:tcPr>
          <w:p w14:paraId="6FCCDE4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329" w:type="dxa"/>
            <w:tcBorders>
              <w:top w:val="nil"/>
              <w:left w:val="nil"/>
              <w:bottom w:val="single" w:color="auto" w:sz="4" w:space="0"/>
              <w:right w:val="single" w:color="auto" w:sz="4" w:space="0"/>
            </w:tcBorders>
            <w:noWrap w:val="0"/>
            <w:vAlign w:val="center"/>
          </w:tcPr>
          <w:p w14:paraId="62C89DE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140</w:t>
            </w:r>
          </w:p>
        </w:tc>
        <w:tc>
          <w:tcPr>
            <w:tcW w:w="1007" w:type="dxa"/>
            <w:tcBorders>
              <w:top w:val="nil"/>
              <w:left w:val="nil"/>
              <w:bottom w:val="single" w:color="auto" w:sz="4" w:space="0"/>
              <w:right w:val="single" w:color="auto" w:sz="4" w:space="0"/>
            </w:tcBorders>
            <w:noWrap w:val="0"/>
            <w:vAlign w:val="center"/>
          </w:tcPr>
          <w:p w14:paraId="77E4D1DB">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140</w:t>
            </w:r>
          </w:p>
        </w:tc>
        <w:tc>
          <w:tcPr>
            <w:tcW w:w="986" w:type="dxa"/>
            <w:tcBorders>
              <w:top w:val="nil"/>
              <w:left w:val="nil"/>
              <w:bottom w:val="single" w:color="auto" w:sz="4" w:space="0"/>
              <w:right w:val="single" w:color="auto" w:sz="4" w:space="0"/>
            </w:tcBorders>
            <w:noWrap w:val="0"/>
            <w:vAlign w:val="center"/>
          </w:tcPr>
          <w:p w14:paraId="6D87498C">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133.28</w:t>
            </w:r>
          </w:p>
        </w:tc>
        <w:tc>
          <w:tcPr>
            <w:tcW w:w="789" w:type="dxa"/>
            <w:gridSpan w:val="2"/>
            <w:tcBorders>
              <w:top w:val="nil"/>
              <w:left w:val="nil"/>
              <w:bottom w:val="single" w:color="auto" w:sz="4" w:space="0"/>
              <w:right w:val="single" w:color="auto" w:sz="4" w:space="0"/>
            </w:tcBorders>
            <w:noWrap w:val="0"/>
            <w:vAlign w:val="center"/>
          </w:tcPr>
          <w:p w14:paraId="25E9AA0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5FEE2E6E">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2C9A2F9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74058302">
        <w:tblPrEx>
          <w:tblCellMar>
            <w:top w:w="0" w:type="dxa"/>
            <w:left w:w="108" w:type="dxa"/>
            <w:bottom w:w="0" w:type="dxa"/>
            <w:right w:w="108" w:type="dxa"/>
          </w:tblCellMar>
        </w:tblPrEx>
        <w:trPr>
          <w:trHeight w:val="300" w:hRule="exact"/>
          <w:jc w:val="center"/>
        </w:trPr>
        <w:tc>
          <w:tcPr>
            <w:tcW w:w="1379"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1EBBB91">
            <w:pPr>
              <w:widowControl/>
              <w:spacing w:line="240" w:lineRule="exact"/>
              <w:jc w:val="center"/>
              <w:rPr>
                <w:rFonts w:ascii="宋体" w:hAnsi="宋体" w:eastAsia="宋体" w:cs="宋体"/>
                <w:kern w:val="0"/>
                <w:sz w:val="18"/>
                <w:szCs w:val="18"/>
              </w:rPr>
            </w:pPr>
          </w:p>
        </w:tc>
        <w:tc>
          <w:tcPr>
            <w:tcW w:w="2031" w:type="dxa"/>
            <w:gridSpan w:val="2"/>
            <w:tcBorders>
              <w:top w:val="single" w:color="auto" w:sz="4" w:space="0"/>
              <w:left w:val="nil"/>
              <w:bottom w:val="single" w:color="auto" w:sz="4" w:space="0"/>
              <w:right w:val="single" w:color="auto" w:sz="4" w:space="0"/>
            </w:tcBorders>
            <w:noWrap w:val="0"/>
            <w:vAlign w:val="center"/>
          </w:tcPr>
          <w:p w14:paraId="1A0A63F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329" w:type="dxa"/>
            <w:tcBorders>
              <w:top w:val="nil"/>
              <w:left w:val="nil"/>
              <w:bottom w:val="single" w:color="auto" w:sz="4" w:space="0"/>
              <w:right w:val="single" w:color="auto" w:sz="4" w:space="0"/>
            </w:tcBorders>
            <w:noWrap w:val="0"/>
            <w:vAlign w:val="center"/>
          </w:tcPr>
          <w:p w14:paraId="20AF0697">
            <w:pPr>
              <w:widowControl/>
              <w:spacing w:line="240" w:lineRule="exact"/>
              <w:jc w:val="center"/>
              <w:rPr>
                <w:rFonts w:ascii="宋体" w:hAnsi="宋体" w:eastAsia="宋体" w:cs="宋体"/>
                <w:kern w:val="0"/>
                <w:sz w:val="18"/>
                <w:szCs w:val="18"/>
              </w:rPr>
            </w:pPr>
          </w:p>
        </w:tc>
        <w:tc>
          <w:tcPr>
            <w:tcW w:w="1007" w:type="dxa"/>
            <w:tcBorders>
              <w:top w:val="nil"/>
              <w:left w:val="nil"/>
              <w:bottom w:val="single" w:color="auto" w:sz="4" w:space="0"/>
              <w:right w:val="single" w:color="auto" w:sz="4" w:space="0"/>
            </w:tcBorders>
            <w:noWrap w:val="0"/>
            <w:vAlign w:val="center"/>
          </w:tcPr>
          <w:p w14:paraId="6E1AE25A">
            <w:pPr>
              <w:widowControl/>
              <w:spacing w:line="240" w:lineRule="exact"/>
              <w:jc w:val="center"/>
              <w:rPr>
                <w:rFonts w:ascii="宋体" w:hAnsi="宋体" w:eastAsia="宋体" w:cs="宋体"/>
                <w:kern w:val="0"/>
                <w:sz w:val="18"/>
                <w:szCs w:val="18"/>
              </w:rPr>
            </w:pPr>
          </w:p>
        </w:tc>
        <w:tc>
          <w:tcPr>
            <w:tcW w:w="986" w:type="dxa"/>
            <w:tcBorders>
              <w:top w:val="nil"/>
              <w:left w:val="nil"/>
              <w:bottom w:val="single" w:color="auto" w:sz="4" w:space="0"/>
              <w:right w:val="single" w:color="auto" w:sz="4" w:space="0"/>
            </w:tcBorders>
            <w:noWrap w:val="0"/>
            <w:vAlign w:val="center"/>
          </w:tcPr>
          <w:p w14:paraId="39BFEE17">
            <w:pPr>
              <w:widowControl/>
              <w:spacing w:line="240" w:lineRule="exact"/>
              <w:jc w:val="center"/>
              <w:rPr>
                <w:rFonts w:ascii="宋体" w:hAnsi="宋体" w:eastAsia="宋体" w:cs="宋体"/>
                <w:kern w:val="0"/>
                <w:sz w:val="18"/>
                <w:szCs w:val="18"/>
              </w:rPr>
            </w:pPr>
          </w:p>
        </w:tc>
        <w:tc>
          <w:tcPr>
            <w:tcW w:w="789" w:type="dxa"/>
            <w:gridSpan w:val="2"/>
            <w:tcBorders>
              <w:top w:val="nil"/>
              <w:left w:val="nil"/>
              <w:bottom w:val="single" w:color="auto" w:sz="4" w:space="0"/>
              <w:right w:val="single" w:color="auto" w:sz="4" w:space="0"/>
            </w:tcBorders>
            <w:noWrap w:val="0"/>
            <w:vAlign w:val="center"/>
          </w:tcPr>
          <w:p w14:paraId="7ACA7F4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6762AD52">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7F1DE8B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24C30EB5">
        <w:tblPrEx>
          <w:tblCellMar>
            <w:top w:w="0" w:type="dxa"/>
            <w:left w:w="108" w:type="dxa"/>
            <w:bottom w:w="0" w:type="dxa"/>
            <w:right w:w="108" w:type="dxa"/>
          </w:tblCellMar>
        </w:tblPrEx>
        <w:trPr>
          <w:trHeight w:val="300" w:hRule="exact"/>
          <w:jc w:val="center"/>
        </w:trPr>
        <w:tc>
          <w:tcPr>
            <w:tcW w:w="1379"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5A653A9">
            <w:pPr>
              <w:widowControl/>
              <w:spacing w:line="240" w:lineRule="exact"/>
              <w:jc w:val="center"/>
              <w:rPr>
                <w:rFonts w:ascii="宋体" w:hAnsi="宋体" w:eastAsia="宋体" w:cs="宋体"/>
                <w:kern w:val="0"/>
                <w:sz w:val="18"/>
                <w:szCs w:val="18"/>
              </w:rPr>
            </w:pPr>
          </w:p>
        </w:tc>
        <w:tc>
          <w:tcPr>
            <w:tcW w:w="2031" w:type="dxa"/>
            <w:gridSpan w:val="2"/>
            <w:tcBorders>
              <w:top w:val="single" w:color="auto" w:sz="4" w:space="0"/>
              <w:left w:val="nil"/>
              <w:bottom w:val="single" w:color="auto" w:sz="4" w:space="0"/>
              <w:right w:val="single" w:color="auto" w:sz="4" w:space="0"/>
            </w:tcBorders>
            <w:noWrap w:val="0"/>
            <w:vAlign w:val="center"/>
          </w:tcPr>
          <w:p w14:paraId="5DD323D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329" w:type="dxa"/>
            <w:tcBorders>
              <w:top w:val="nil"/>
              <w:left w:val="nil"/>
              <w:bottom w:val="single" w:color="auto" w:sz="4" w:space="0"/>
              <w:right w:val="single" w:color="auto" w:sz="4" w:space="0"/>
            </w:tcBorders>
            <w:noWrap w:val="0"/>
            <w:vAlign w:val="center"/>
          </w:tcPr>
          <w:p w14:paraId="16009108">
            <w:pPr>
              <w:widowControl/>
              <w:spacing w:line="240" w:lineRule="exact"/>
              <w:jc w:val="center"/>
              <w:rPr>
                <w:rFonts w:hint="eastAsia" w:ascii="宋体" w:hAnsi="宋体" w:eastAsia="宋体" w:cs="宋体"/>
                <w:kern w:val="0"/>
                <w:sz w:val="18"/>
                <w:szCs w:val="18"/>
                <w:lang w:val="en-US" w:eastAsia="zh-CN"/>
              </w:rPr>
            </w:pPr>
          </w:p>
        </w:tc>
        <w:tc>
          <w:tcPr>
            <w:tcW w:w="1007" w:type="dxa"/>
            <w:tcBorders>
              <w:top w:val="nil"/>
              <w:left w:val="nil"/>
              <w:bottom w:val="single" w:color="auto" w:sz="4" w:space="0"/>
              <w:right w:val="single" w:color="auto" w:sz="4" w:space="0"/>
            </w:tcBorders>
            <w:noWrap w:val="0"/>
            <w:vAlign w:val="center"/>
          </w:tcPr>
          <w:p w14:paraId="0432563E">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0.568</w:t>
            </w:r>
          </w:p>
        </w:tc>
        <w:tc>
          <w:tcPr>
            <w:tcW w:w="986" w:type="dxa"/>
            <w:tcBorders>
              <w:top w:val="nil"/>
              <w:left w:val="nil"/>
              <w:bottom w:val="single" w:color="auto" w:sz="4" w:space="0"/>
              <w:right w:val="single" w:color="auto" w:sz="4" w:space="0"/>
            </w:tcBorders>
            <w:noWrap w:val="0"/>
            <w:vAlign w:val="center"/>
          </w:tcPr>
          <w:p w14:paraId="21C6A4D3">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0.568</w:t>
            </w:r>
          </w:p>
        </w:tc>
        <w:tc>
          <w:tcPr>
            <w:tcW w:w="789" w:type="dxa"/>
            <w:gridSpan w:val="2"/>
            <w:tcBorders>
              <w:top w:val="nil"/>
              <w:left w:val="nil"/>
              <w:bottom w:val="single" w:color="auto" w:sz="4" w:space="0"/>
              <w:right w:val="single" w:color="auto" w:sz="4" w:space="0"/>
            </w:tcBorders>
            <w:noWrap w:val="0"/>
            <w:vAlign w:val="center"/>
          </w:tcPr>
          <w:p w14:paraId="54825E7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7ABB1D7D">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099F470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0838A744">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14:paraId="0C498CB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158" w:type="dxa"/>
            <w:gridSpan w:val="5"/>
            <w:tcBorders>
              <w:top w:val="single" w:color="auto" w:sz="4" w:space="0"/>
              <w:left w:val="nil"/>
              <w:bottom w:val="single" w:color="auto" w:sz="4" w:space="0"/>
              <w:right w:val="single" w:color="auto" w:sz="4" w:space="0"/>
            </w:tcBorders>
            <w:noWrap w:val="0"/>
            <w:vAlign w:val="center"/>
          </w:tcPr>
          <w:p w14:paraId="07D4F55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34" w:type="dxa"/>
            <w:gridSpan w:val="6"/>
            <w:tcBorders>
              <w:top w:val="single" w:color="auto" w:sz="4" w:space="0"/>
              <w:left w:val="nil"/>
              <w:bottom w:val="single" w:color="auto" w:sz="4" w:space="0"/>
              <w:right w:val="single" w:color="auto" w:sz="4" w:space="0"/>
            </w:tcBorders>
            <w:noWrap w:val="0"/>
            <w:vAlign w:val="center"/>
          </w:tcPr>
          <w:p w14:paraId="38D25DC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51DBAA46">
        <w:tblPrEx>
          <w:tblCellMar>
            <w:top w:w="0" w:type="dxa"/>
            <w:left w:w="108" w:type="dxa"/>
            <w:bottom w:w="0" w:type="dxa"/>
            <w:right w:w="108" w:type="dxa"/>
          </w:tblCellMar>
        </w:tblPrEx>
        <w:trPr>
          <w:trHeight w:val="318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42FC9C5B">
            <w:pPr>
              <w:widowControl/>
              <w:spacing w:line="240" w:lineRule="exact"/>
              <w:jc w:val="center"/>
              <w:rPr>
                <w:rFonts w:ascii="宋体" w:hAnsi="宋体" w:eastAsia="宋体" w:cs="宋体"/>
                <w:kern w:val="0"/>
                <w:sz w:val="18"/>
                <w:szCs w:val="18"/>
              </w:rPr>
            </w:pPr>
          </w:p>
        </w:tc>
        <w:tc>
          <w:tcPr>
            <w:tcW w:w="5158" w:type="dxa"/>
            <w:gridSpan w:val="5"/>
            <w:tcBorders>
              <w:top w:val="single" w:color="auto" w:sz="4" w:space="0"/>
              <w:left w:val="nil"/>
              <w:bottom w:val="single" w:color="auto" w:sz="4" w:space="0"/>
              <w:right w:val="single" w:color="auto" w:sz="4" w:space="0"/>
            </w:tcBorders>
            <w:noWrap w:val="0"/>
            <w:vAlign w:val="center"/>
          </w:tcPr>
          <w:p w14:paraId="44BA8E41">
            <w:pPr>
              <w:widowControl/>
              <w:spacing w:line="24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rPr>
              <w:t>1.根据省军转安置工作小组、省委组织部、省人事厅、省财政厅等14部门《关于印发&lt;江西省自主择业军队转业干部安置管理暂行办法&gt;的通知》（赣军转联[2003]1号）文件中关于自主择业军队转业干部享受基本医疗保险待遇和缴纳医疗保险金办法之规定，自主择业军转干部享受安置地机关与其军队职务等级相应或者同等条件公务员的医疗待遇，参加基本医疗保险需缴纳的单位缴费部分由安置地所属设区市财政承担。                                                                                                                             2.为了保证全市自主择业军转干部的身体健康，保持自主择业军转干部队伍稳定，根据中发[2007]8号《关于进一步做好军队转业干部安置工作的意见》和赣人字[2007]331号《关于机关事业单位发放冬季取暖费的通知》等文件规定，对全市自主择业军转干部按每人每年240元的标准发放冬季取暖费。                                                                 3.根据景府办抄字[2017]38号，申请拨付专项业务经费</w:t>
            </w:r>
            <w:r>
              <w:rPr>
                <w:rFonts w:hint="eastAsia" w:ascii="宋体" w:hAnsi="宋体" w:eastAsia="宋体" w:cs="宋体"/>
                <w:kern w:val="0"/>
                <w:sz w:val="18"/>
                <w:szCs w:val="18"/>
                <w:lang w:eastAsia="zh-CN"/>
              </w:rPr>
              <w:t>。</w:t>
            </w:r>
          </w:p>
        </w:tc>
        <w:tc>
          <w:tcPr>
            <w:tcW w:w="3334" w:type="dxa"/>
            <w:gridSpan w:val="6"/>
            <w:tcBorders>
              <w:top w:val="single" w:color="auto" w:sz="4" w:space="0"/>
              <w:left w:val="nil"/>
              <w:bottom w:val="single" w:color="auto" w:sz="4" w:space="0"/>
              <w:right w:val="single" w:color="auto" w:sz="4" w:space="0"/>
            </w:tcBorders>
            <w:noWrap w:val="0"/>
            <w:vAlign w:val="center"/>
          </w:tcPr>
          <w:p w14:paraId="3141ADE7">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1.按月缴纳自主择业军转干部医保金；</w:t>
            </w:r>
          </w:p>
          <w:p w14:paraId="543719CE">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2.发放自主择业军转干部冬季取暖费；</w:t>
            </w:r>
          </w:p>
          <w:p w14:paraId="643FE8C9">
            <w:pPr>
              <w:widowControl/>
              <w:spacing w:line="24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3.相关工作有序进行。</w:t>
            </w:r>
          </w:p>
        </w:tc>
      </w:tr>
      <w:tr w14:paraId="422A179A">
        <w:tblPrEx>
          <w:tblCellMar>
            <w:top w:w="0" w:type="dxa"/>
            <w:left w:w="108" w:type="dxa"/>
            <w:bottom w:w="0" w:type="dxa"/>
            <w:right w:w="108" w:type="dxa"/>
          </w:tblCellMar>
        </w:tblPrEx>
        <w:trPr>
          <w:trHeight w:val="809" w:hRule="exact"/>
          <w:jc w:val="center"/>
        </w:trPr>
        <w:tc>
          <w:tcPr>
            <w:tcW w:w="588" w:type="dxa"/>
            <w:vMerge w:val="restart"/>
            <w:tcBorders>
              <w:top w:val="nil"/>
              <w:left w:val="single" w:color="auto" w:sz="4" w:space="0"/>
              <w:right w:val="single" w:color="auto" w:sz="4" w:space="0"/>
            </w:tcBorders>
            <w:noWrap w:val="0"/>
            <w:vAlign w:val="center"/>
          </w:tcPr>
          <w:p w14:paraId="240161F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791" w:type="dxa"/>
            <w:tcBorders>
              <w:top w:val="nil"/>
              <w:left w:val="nil"/>
              <w:bottom w:val="single" w:color="auto" w:sz="4" w:space="0"/>
              <w:right w:val="single" w:color="auto" w:sz="4" w:space="0"/>
            </w:tcBorders>
            <w:noWrap w:val="0"/>
            <w:vAlign w:val="center"/>
          </w:tcPr>
          <w:p w14:paraId="492027B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70" w:type="dxa"/>
            <w:tcBorders>
              <w:top w:val="nil"/>
              <w:left w:val="nil"/>
              <w:bottom w:val="single" w:color="auto" w:sz="4" w:space="0"/>
              <w:right w:val="single" w:color="auto" w:sz="4" w:space="0"/>
            </w:tcBorders>
            <w:noWrap w:val="0"/>
            <w:vAlign w:val="center"/>
          </w:tcPr>
          <w:p w14:paraId="4155ADD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90" w:type="dxa"/>
            <w:gridSpan w:val="2"/>
            <w:tcBorders>
              <w:top w:val="single" w:color="auto" w:sz="4" w:space="0"/>
              <w:left w:val="nil"/>
              <w:bottom w:val="single" w:color="auto" w:sz="4" w:space="0"/>
              <w:right w:val="single" w:color="auto" w:sz="4" w:space="0"/>
            </w:tcBorders>
            <w:noWrap w:val="0"/>
            <w:vAlign w:val="center"/>
          </w:tcPr>
          <w:p w14:paraId="615D9F9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007" w:type="dxa"/>
            <w:tcBorders>
              <w:top w:val="nil"/>
              <w:left w:val="nil"/>
              <w:bottom w:val="single" w:color="auto" w:sz="4" w:space="0"/>
              <w:right w:val="single" w:color="auto" w:sz="4" w:space="0"/>
            </w:tcBorders>
            <w:noWrap w:val="0"/>
            <w:vAlign w:val="center"/>
          </w:tcPr>
          <w:p w14:paraId="53324BF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0FE0BA1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86" w:type="dxa"/>
            <w:tcBorders>
              <w:top w:val="nil"/>
              <w:left w:val="nil"/>
              <w:bottom w:val="single" w:color="auto" w:sz="4" w:space="0"/>
              <w:right w:val="single" w:color="auto" w:sz="4" w:space="0"/>
            </w:tcBorders>
            <w:noWrap w:val="0"/>
            <w:vAlign w:val="center"/>
          </w:tcPr>
          <w:p w14:paraId="787C3CE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72287A0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666" w:type="dxa"/>
            <w:tcBorders>
              <w:top w:val="nil"/>
              <w:left w:val="nil"/>
              <w:bottom w:val="single" w:color="auto" w:sz="4" w:space="0"/>
              <w:right w:val="single" w:color="auto" w:sz="4" w:space="0"/>
            </w:tcBorders>
            <w:noWrap w:val="0"/>
            <w:vAlign w:val="center"/>
          </w:tcPr>
          <w:p w14:paraId="2421ABD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651" w:type="dxa"/>
            <w:gridSpan w:val="2"/>
            <w:tcBorders>
              <w:top w:val="nil"/>
              <w:left w:val="nil"/>
              <w:bottom w:val="single" w:color="auto" w:sz="4" w:space="0"/>
              <w:right w:val="single" w:color="auto" w:sz="4" w:space="0"/>
            </w:tcBorders>
            <w:noWrap w:val="0"/>
            <w:vAlign w:val="center"/>
          </w:tcPr>
          <w:p w14:paraId="5622928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031" w:type="dxa"/>
            <w:gridSpan w:val="2"/>
            <w:tcBorders>
              <w:top w:val="single" w:color="auto" w:sz="4" w:space="0"/>
              <w:left w:val="nil"/>
              <w:bottom w:val="single" w:color="auto" w:sz="4" w:space="0"/>
              <w:right w:val="single" w:color="auto" w:sz="4" w:space="0"/>
            </w:tcBorders>
            <w:noWrap w:val="0"/>
            <w:vAlign w:val="center"/>
          </w:tcPr>
          <w:p w14:paraId="2123D3B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12A20A48">
        <w:tblPrEx>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noWrap w:val="0"/>
            <w:vAlign w:val="center"/>
          </w:tcPr>
          <w:p w14:paraId="43991D14">
            <w:pPr>
              <w:widowControl/>
              <w:spacing w:line="240" w:lineRule="exact"/>
              <w:jc w:val="center"/>
              <w:rPr>
                <w:rFonts w:ascii="宋体" w:hAnsi="宋体" w:eastAsia="宋体" w:cs="宋体"/>
                <w:kern w:val="0"/>
                <w:sz w:val="18"/>
                <w:szCs w:val="18"/>
              </w:rPr>
            </w:pPr>
          </w:p>
        </w:tc>
        <w:tc>
          <w:tcPr>
            <w:tcW w:w="791" w:type="dxa"/>
            <w:vMerge w:val="restart"/>
            <w:tcBorders>
              <w:top w:val="nil"/>
              <w:left w:val="single" w:color="auto" w:sz="4" w:space="0"/>
              <w:bottom w:val="single" w:color="auto" w:sz="4" w:space="0"/>
              <w:right w:val="single" w:color="auto" w:sz="4" w:space="0"/>
            </w:tcBorders>
            <w:noWrap w:val="0"/>
            <w:vAlign w:val="center"/>
          </w:tcPr>
          <w:p w14:paraId="4387450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70" w:type="dxa"/>
            <w:vMerge w:val="restart"/>
            <w:tcBorders>
              <w:top w:val="nil"/>
              <w:left w:val="single" w:color="auto" w:sz="4" w:space="0"/>
              <w:bottom w:val="single" w:color="auto" w:sz="4" w:space="0"/>
              <w:right w:val="single" w:color="auto" w:sz="4" w:space="0"/>
            </w:tcBorders>
            <w:noWrap w:val="0"/>
            <w:vAlign w:val="center"/>
          </w:tcPr>
          <w:p w14:paraId="41E7052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90" w:type="dxa"/>
            <w:gridSpan w:val="2"/>
            <w:tcBorders>
              <w:top w:val="single" w:color="auto" w:sz="4" w:space="0"/>
              <w:left w:val="nil"/>
              <w:bottom w:val="single" w:color="auto" w:sz="4" w:space="0"/>
              <w:right w:val="single" w:color="auto" w:sz="4" w:space="0"/>
            </w:tcBorders>
            <w:noWrap w:val="0"/>
            <w:vAlign w:val="center"/>
          </w:tcPr>
          <w:p w14:paraId="5F385E28">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指标1：自主择业军转干部人数</w:t>
            </w:r>
          </w:p>
        </w:tc>
        <w:tc>
          <w:tcPr>
            <w:tcW w:w="1007" w:type="dxa"/>
            <w:tcBorders>
              <w:top w:val="nil"/>
              <w:left w:val="nil"/>
              <w:bottom w:val="single" w:color="auto" w:sz="4" w:space="0"/>
              <w:right w:val="single" w:color="auto" w:sz="4" w:space="0"/>
            </w:tcBorders>
            <w:noWrap w:val="0"/>
            <w:vAlign w:val="center"/>
          </w:tcPr>
          <w:p w14:paraId="72F3437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112人</w:t>
            </w:r>
          </w:p>
        </w:tc>
        <w:tc>
          <w:tcPr>
            <w:tcW w:w="986" w:type="dxa"/>
            <w:tcBorders>
              <w:top w:val="nil"/>
              <w:left w:val="nil"/>
              <w:bottom w:val="single" w:color="auto" w:sz="4" w:space="0"/>
              <w:right w:val="single" w:color="auto" w:sz="4" w:space="0"/>
            </w:tcBorders>
            <w:noWrap w:val="0"/>
            <w:vAlign w:val="center"/>
          </w:tcPr>
          <w:p w14:paraId="0C94AD9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112人</w:t>
            </w:r>
          </w:p>
        </w:tc>
        <w:tc>
          <w:tcPr>
            <w:tcW w:w="666" w:type="dxa"/>
            <w:tcBorders>
              <w:top w:val="nil"/>
              <w:left w:val="nil"/>
              <w:bottom w:val="single" w:color="auto" w:sz="4" w:space="0"/>
              <w:right w:val="single" w:color="auto" w:sz="4" w:space="0"/>
            </w:tcBorders>
            <w:noWrap w:val="0"/>
            <w:vAlign w:val="center"/>
          </w:tcPr>
          <w:p w14:paraId="7D401CD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51" w:type="dxa"/>
            <w:gridSpan w:val="2"/>
            <w:tcBorders>
              <w:top w:val="nil"/>
              <w:left w:val="nil"/>
              <w:bottom w:val="single" w:color="auto" w:sz="4" w:space="0"/>
              <w:right w:val="single" w:color="auto" w:sz="4" w:space="0"/>
            </w:tcBorders>
            <w:noWrap w:val="0"/>
            <w:vAlign w:val="center"/>
          </w:tcPr>
          <w:p w14:paraId="7BE31ECE">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031" w:type="dxa"/>
            <w:gridSpan w:val="2"/>
            <w:tcBorders>
              <w:top w:val="single" w:color="auto" w:sz="4" w:space="0"/>
              <w:left w:val="nil"/>
              <w:bottom w:val="single" w:color="auto" w:sz="4" w:space="0"/>
              <w:right w:val="single" w:color="auto" w:sz="4" w:space="0"/>
            </w:tcBorders>
            <w:noWrap w:val="0"/>
            <w:vAlign w:val="center"/>
          </w:tcPr>
          <w:p w14:paraId="4C619333">
            <w:pPr>
              <w:widowControl/>
              <w:spacing w:line="240" w:lineRule="exact"/>
              <w:jc w:val="center"/>
              <w:rPr>
                <w:rFonts w:ascii="宋体" w:hAnsi="宋体" w:eastAsia="宋体" w:cs="宋体"/>
                <w:kern w:val="0"/>
                <w:sz w:val="18"/>
                <w:szCs w:val="18"/>
              </w:rPr>
            </w:pPr>
          </w:p>
        </w:tc>
      </w:tr>
      <w:tr w14:paraId="47456E22">
        <w:tblPrEx>
          <w:tblCellMar>
            <w:top w:w="0" w:type="dxa"/>
            <w:left w:w="108" w:type="dxa"/>
            <w:bottom w:w="0" w:type="dxa"/>
            <w:right w:w="108" w:type="dxa"/>
          </w:tblCellMar>
        </w:tblPrEx>
        <w:trPr>
          <w:trHeight w:val="420" w:hRule="exact"/>
          <w:jc w:val="center"/>
        </w:trPr>
        <w:tc>
          <w:tcPr>
            <w:tcW w:w="588" w:type="dxa"/>
            <w:vMerge w:val="continue"/>
            <w:tcBorders>
              <w:left w:val="single" w:color="auto" w:sz="4" w:space="0"/>
              <w:right w:val="single" w:color="auto" w:sz="4" w:space="0"/>
            </w:tcBorders>
            <w:noWrap w:val="0"/>
            <w:vAlign w:val="center"/>
          </w:tcPr>
          <w:p w14:paraId="07F428B6">
            <w:pPr>
              <w:widowControl/>
              <w:spacing w:line="240" w:lineRule="exact"/>
              <w:jc w:val="center"/>
              <w:rPr>
                <w:rFonts w:ascii="宋体" w:hAnsi="宋体" w:eastAsia="宋体" w:cs="宋体"/>
                <w:kern w:val="0"/>
                <w:sz w:val="18"/>
                <w:szCs w:val="18"/>
              </w:rPr>
            </w:pPr>
          </w:p>
        </w:tc>
        <w:tc>
          <w:tcPr>
            <w:tcW w:w="791" w:type="dxa"/>
            <w:vMerge w:val="continue"/>
            <w:tcBorders>
              <w:top w:val="nil"/>
              <w:left w:val="single" w:color="auto" w:sz="4" w:space="0"/>
              <w:bottom w:val="single" w:color="auto" w:sz="4" w:space="0"/>
              <w:right w:val="single" w:color="auto" w:sz="4" w:space="0"/>
            </w:tcBorders>
            <w:noWrap w:val="0"/>
            <w:vAlign w:val="center"/>
          </w:tcPr>
          <w:p w14:paraId="585EF5DF">
            <w:pPr>
              <w:widowControl/>
              <w:spacing w:line="240" w:lineRule="exact"/>
              <w:jc w:val="center"/>
              <w:rPr>
                <w:rFonts w:ascii="宋体" w:hAnsi="宋体" w:eastAsia="宋体" w:cs="宋体"/>
                <w:kern w:val="0"/>
                <w:sz w:val="18"/>
                <w:szCs w:val="18"/>
              </w:rPr>
            </w:pPr>
          </w:p>
        </w:tc>
        <w:tc>
          <w:tcPr>
            <w:tcW w:w="1170" w:type="dxa"/>
            <w:vMerge w:val="continue"/>
            <w:tcBorders>
              <w:top w:val="nil"/>
              <w:left w:val="single" w:color="auto" w:sz="4" w:space="0"/>
              <w:bottom w:val="single" w:color="auto" w:sz="4" w:space="0"/>
              <w:right w:val="single" w:color="auto" w:sz="4" w:space="0"/>
            </w:tcBorders>
            <w:noWrap w:val="0"/>
            <w:vAlign w:val="center"/>
          </w:tcPr>
          <w:p w14:paraId="1CA7887E">
            <w:pPr>
              <w:widowControl/>
              <w:spacing w:line="240" w:lineRule="exact"/>
              <w:jc w:val="center"/>
              <w:rPr>
                <w:rFonts w:ascii="宋体" w:hAnsi="宋体" w:eastAsia="宋体" w:cs="宋体"/>
                <w:kern w:val="0"/>
                <w:sz w:val="18"/>
                <w:szCs w:val="18"/>
              </w:rPr>
            </w:pPr>
          </w:p>
        </w:tc>
        <w:tc>
          <w:tcPr>
            <w:tcW w:w="2190" w:type="dxa"/>
            <w:gridSpan w:val="2"/>
            <w:tcBorders>
              <w:top w:val="single" w:color="auto" w:sz="4" w:space="0"/>
              <w:left w:val="nil"/>
              <w:bottom w:val="single" w:color="auto" w:sz="4" w:space="0"/>
              <w:right w:val="single" w:color="auto" w:sz="4" w:space="0"/>
            </w:tcBorders>
            <w:noWrap w:val="0"/>
            <w:vAlign w:val="center"/>
          </w:tcPr>
          <w:p w14:paraId="487E0E4B">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指标2：</w:t>
            </w:r>
          </w:p>
        </w:tc>
        <w:tc>
          <w:tcPr>
            <w:tcW w:w="1007" w:type="dxa"/>
            <w:tcBorders>
              <w:top w:val="nil"/>
              <w:left w:val="nil"/>
              <w:bottom w:val="single" w:color="auto" w:sz="4" w:space="0"/>
              <w:right w:val="single" w:color="auto" w:sz="4" w:space="0"/>
            </w:tcBorders>
            <w:noWrap w:val="0"/>
            <w:vAlign w:val="center"/>
          </w:tcPr>
          <w:p w14:paraId="452F84FA">
            <w:pPr>
              <w:widowControl/>
              <w:spacing w:line="240" w:lineRule="exact"/>
              <w:jc w:val="center"/>
              <w:rPr>
                <w:rFonts w:hint="default" w:ascii="宋体" w:hAnsi="宋体" w:eastAsia="宋体" w:cs="宋体"/>
                <w:kern w:val="0"/>
                <w:sz w:val="18"/>
                <w:szCs w:val="18"/>
                <w:lang w:val="en-US" w:eastAsia="zh-CN"/>
              </w:rPr>
            </w:pPr>
          </w:p>
        </w:tc>
        <w:tc>
          <w:tcPr>
            <w:tcW w:w="986" w:type="dxa"/>
            <w:tcBorders>
              <w:top w:val="nil"/>
              <w:left w:val="nil"/>
              <w:bottom w:val="single" w:color="auto" w:sz="4" w:space="0"/>
              <w:right w:val="single" w:color="auto" w:sz="4" w:space="0"/>
            </w:tcBorders>
            <w:noWrap w:val="0"/>
            <w:vAlign w:val="center"/>
          </w:tcPr>
          <w:p w14:paraId="00501880">
            <w:pPr>
              <w:widowControl/>
              <w:spacing w:line="240" w:lineRule="exact"/>
              <w:jc w:val="center"/>
              <w:rPr>
                <w:rFonts w:hint="default" w:ascii="宋体" w:hAnsi="宋体" w:eastAsia="宋体" w:cs="宋体"/>
                <w:kern w:val="0"/>
                <w:sz w:val="18"/>
                <w:szCs w:val="18"/>
                <w:lang w:val="en-US" w:eastAsia="zh-CN"/>
              </w:rPr>
            </w:pPr>
          </w:p>
        </w:tc>
        <w:tc>
          <w:tcPr>
            <w:tcW w:w="666" w:type="dxa"/>
            <w:tcBorders>
              <w:top w:val="nil"/>
              <w:left w:val="nil"/>
              <w:bottom w:val="single" w:color="auto" w:sz="4" w:space="0"/>
              <w:right w:val="single" w:color="auto" w:sz="4" w:space="0"/>
            </w:tcBorders>
            <w:noWrap w:val="0"/>
            <w:vAlign w:val="center"/>
          </w:tcPr>
          <w:p w14:paraId="107E751E">
            <w:pPr>
              <w:widowControl/>
              <w:spacing w:line="240" w:lineRule="exact"/>
              <w:jc w:val="center"/>
              <w:rPr>
                <w:rFonts w:hint="default" w:ascii="宋体" w:hAnsi="宋体" w:eastAsia="宋体" w:cs="宋体"/>
                <w:kern w:val="0"/>
                <w:sz w:val="18"/>
                <w:szCs w:val="18"/>
                <w:lang w:val="en-US" w:eastAsia="zh-CN" w:bidi="ar-SA"/>
              </w:rPr>
            </w:pPr>
          </w:p>
        </w:tc>
        <w:tc>
          <w:tcPr>
            <w:tcW w:w="651" w:type="dxa"/>
            <w:gridSpan w:val="2"/>
            <w:tcBorders>
              <w:top w:val="nil"/>
              <w:left w:val="nil"/>
              <w:bottom w:val="single" w:color="auto" w:sz="4" w:space="0"/>
              <w:right w:val="single" w:color="auto" w:sz="4" w:space="0"/>
            </w:tcBorders>
            <w:noWrap w:val="0"/>
            <w:vAlign w:val="center"/>
          </w:tcPr>
          <w:p w14:paraId="4B1A96D7">
            <w:pPr>
              <w:widowControl/>
              <w:spacing w:line="240" w:lineRule="exact"/>
              <w:jc w:val="center"/>
              <w:rPr>
                <w:rFonts w:hint="default" w:ascii="宋体" w:hAnsi="宋体" w:eastAsia="宋体" w:cs="宋体"/>
                <w:kern w:val="0"/>
                <w:sz w:val="18"/>
                <w:szCs w:val="18"/>
                <w:lang w:val="en-US" w:eastAsia="zh-CN" w:bidi="ar-SA"/>
              </w:rPr>
            </w:pPr>
          </w:p>
        </w:tc>
        <w:tc>
          <w:tcPr>
            <w:tcW w:w="1031" w:type="dxa"/>
            <w:gridSpan w:val="2"/>
            <w:tcBorders>
              <w:top w:val="single" w:color="auto" w:sz="4" w:space="0"/>
              <w:left w:val="nil"/>
              <w:bottom w:val="single" w:color="auto" w:sz="4" w:space="0"/>
              <w:right w:val="single" w:color="auto" w:sz="4" w:space="0"/>
            </w:tcBorders>
            <w:noWrap w:val="0"/>
            <w:vAlign w:val="center"/>
          </w:tcPr>
          <w:p w14:paraId="4054CF93">
            <w:pPr>
              <w:widowControl/>
              <w:spacing w:line="240" w:lineRule="exact"/>
              <w:jc w:val="center"/>
              <w:rPr>
                <w:rFonts w:ascii="宋体" w:hAnsi="宋体" w:eastAsia="宋体" w:cs="宋体"/>
                <w:kern w:val="0"/>
                <w:sz w:val="18"/>
                <w:szCs w:val="18"/>
              </w:rPr>
            </w:pPr>
          </w:p>
        </w:tc>
      </w:tr>
      <w:tr w14:paraId="7EF3333F">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14:paraId="009B6D41">
            <w:pPr>
              <w:widowControl/>
              <w:spacing w:line="240" w:lineRule="exact"/>
              <w:jc w:val="center"/>
              <w:rPr>
                <w:rFonts w:ascii="宋体" w:hAnsi="宋体" w:eastAsia="宋体" w:cs="宋体"/>
                <w:kern w:val="0"/>
                <w:sz w:val="18"/>
                <w:szCs w:val="18"/>
              </w:rPr>
            </w:pPr>
          </w:p>
        </w:tc>
        <w:tc>
          <w:tcPr>
            <w:tcW w:w="791" w:type="dxa"/>
            <w:vMerge w:val="continue"/>
            <w:tcBorders>
              <w:top w:val="nil"/>
              <w:left w:val="single" w:color="auto" w:sz="4" w:space="0"/>
              <w:bottom w:val="single" w:color="auto" w:sz="4" w:space="0"/>
              <w:right w:val="single" w:color="auto" w:sz="4" w:space="0"/>
            </w:tcBorders>
            <w:noWrap w:val="0"/>
            <w:vAlign w:val="center"/>
          </w:tcPr>
          <w:p w14:paraId="3B5E1BC0">
            <w:pPr>
              <w:widowControl/>
              <w:spacing w:line="240" w:lineRule="exact"/>
              <w:jc w:val="center"/>
              <w:rPr>
                <w:rFonts w:ascii="宋体" w:hAnsi="宋体" w:eastAsia="宋体" w:cs="宋体"/>
                <w:kern w:val="0"/>
                <w:sz w:val="18"/>
                <w:szCs w:val="18"/>
              </w:rPr>
            </w:pPr>
          </w:p>
        </w:tc>
        <w:tc>
          <w:tcPr>
            <w:tcW w:w="1170" w:type="dxa"/>
            <w:vMerge w:val="restart"/>
            <w:tcBorders>
              <w:top w:val="nil"/>
              <w:left w:val="single" w:color="auto" w:sz="4" w:space="0"/>
              <w:bottom w:val="single" w:color="auto" w:sz="4" w:space="0"/>
              <w:right w:val="single" w:color="auto" w:sz="4" w:space="0"/>
            </w:tcBorders>
            <w:noWrap w:val="0"/>
            <w:vAlign w:val="center"/>
          </w:tcPr>
          <w:p w14:paraId="570CDD7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90" w:type="dxa"/>
            <w:gridSpan w:val="2"/>
            <w:tcBorders>
              <w:top w:val="single" w:color="auto" w:sz="4" w:space="0"/>
              <w:left w:val="nil"/>
              <w:bottom w:val="single" w:color="auto" w:sz="4" w:space="0"/>
              <w:right w:val="single" w:color="auto" w:sz="4" w:space="0"/>
            </w:tcBorders>
            <w:noWrap w:val="0"/>
            <w:vAlign w:val="center"/>
          </w:tcPr>
          <w:p w14:paraId="630A6E6B">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指标1：缴纳社保合规率</w:t>
            </w:r>
          </w:p>
        </w:tc>
        <w:tc>
          <w:tcPr>
            <w:tcW w:w="1007" w:type="dxa"/>
            <w:tcBorders>
              <w:top w:val="nil"/>
              <w:left w:val="nil"/>
              <w:bottom w:val="single" w:color="auto" w:sz="4" w:space="0"/>
              <w:right w:val="single" w:color="auto" w:sz="4" w:space="0"/>
            </w:tcBorders>
            <w:noWrap w:val="0"/>
            <w:vAlign w:val="center"/>
          </w:tcPr>
          <w:p w14:paraId="3DB69BDB">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986" w:type="dxa"/>
            <w:tcBorders>
              <w:top w:val="nil"/>
              <w:left w:val="nil"/>
              <w:bottom w:val="single" w:color="auto" w:sz="4" w:space="0"/>
              <w:right w:val="single" w:color="auto" w:sz="4" w:space="0"/>
            </w:tcBorders>
            <w:noWrap w:val="0"/>
            <w:vAlign w:val="center"/>
          </w:tcPr>
          <w:p w14:paraId="230F9AC8">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66" w:type="dxa"/>
            <w:tcBorders>
              <w:top w:val="nil"/>
              <w:left w:val="nil"/>
              <w:bottom w:val="single" w:color="auto" w:sz="4" w:space="0"/>
              <w:right w:val="single" w:color="auto" w:sz="4" w:space="0"/>
            </w:tcBorders>
            <w:noWrap w:val="0"/>
            <w:vAlign w:val="center"/>
          </w:tcPr>
          <w:p w14:paraId="25C4AD36">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15</w:t>
            </w:r>
          </w:p>
        </w:tc>
        <w:tc>
          <w:tcPr>
            <w:tcW w:w="651" w:type="dxa"/>
            <w:gridSpan w:val="2"/>
            <w:tcBorders>
              <w:top w:val="nil"/>
              <w:left w:val="nil"/>
              <w:bottom w:val="single" w:color="auto" w:sz="4" w:space="0"/>
              <w:right w:val="single" w:color="auto" w:sz="4" w:space="0"/>
            </w:tcBorders>
            <w:noWrap w:val="0"/>
            <w:vAlign w:val="center"/>
          </w:tcPr>
          <w:p w14:paraId="21EA40A9">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15</w:t>
            </w:r>
          </w:p>
        </w:tc>
        <w:tc>
          <w:tcPr>
            <w:tcW w:w="1031" w:type="dxa"/>
            <w:gridSpan w:val="2"/>
            <w:tcBorders>
              <w:top w:val="single" w:color="auto" w:sz="4" w:space="0"/>
              <w:left w:val="nil"/>
              <w:bottom w:val="single" w:color="auto" w:sz="4" w:space="0"/>
              <w:right w:val="single" w:color="auto" w:sz="4" w:space="0"/>
            </w:tcBorders>
            <w:noWrap w:val="0"/>
            <w:vAlign w:val="center"/>
          </w:tcPr>
          <w:p w14:paraId="22B59667">
            <w:pPr>
              <w:widowControl/>
              <w:spacing w:line="240" w:lineRule="exact"/>
              <w:jc w:val="center"/>
              <w:rPr>
                <w:rFonts w:ascii="宋体" w:hAnsi="宋体" w:eastAsia="宋体" w:cs="宋体"/>
                <w:kern w:val="0"/>
                <w:sz w:val="18"/>
                <w:szCs w:val="18"/>
              </w:rPr>
            </w:pPr>
          </w:p>
        </w:tc>
      </w:tr>
      <w:tr w14:paraId="761E761B">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14:paraId="47F4DD07">
            <w:pPr>
              <w:widowControl/>
              <w:spacing w:line="240" w:lineRule="exact"/>
              <w:jc w:val="center"/>
              <w:rPr>
                <w:rFonts w:ascii="宋体" w:hAnsi="宋体" w:eastAsia="宋体" w:cs="宋体"/>
                <w:kern w:val="0"/>
                <w:sz w:val="18"/>
                <w:szCs w:val="18"/>
              </w:rPr>
            </w:pPr>
          </w:p>
        </w:tc>
        <w:tc>
          <w:tcPr>
            <w:tcW w:w="791" w:type="dxa"/>
            <w:vMerge w:val="continue"/>
            <w:tcBorders>
              <w:top w:val="nil"/>
              <w:left w:val="single" w:color="auto" w:sz="4" w:space="0"/>
              <w:bottom w:val="single" w:color="auto" w:sz="4" w:space="0"/>
              <w:right w:val="single" w:color="auto" w:sz="4" w:space="0"/>
            </w:tcBorders>
            <w:noWrap w:val="0"/>
            <w:vAlign w:val="center"/>
          </w:tcPr>
          <w:p w14:paraId="0F481D18">
            <w:pPr>
              <w:widowControl/>
              <w:spacing w:line="240" w:lineRule="exact"/>
              <w:jc w:val="center"/>
              <w:rPr>
                <w:rFonts w:ascii="宋体" w:hAnsi="宋体" w:eastAsia="宋体" w:cs="宋体"/>
                <w:kern w:val="0"/>
                <w:sz w:val="18"/>
                <w:szCs w:val="18"/>
              </w:rPr>
            </w:pPr>
          </w:p>
        </w:tc>
        <w:tc>
          <w:tcPr>
            <w:tcW w:w="1170" w:type="dxa"/>
            <w:vMerge w:val="continue"/>
            <w:tcBorders>
              <w:top w:val="nil"/>
              <w:left w:val="single" w:color="auto" w:sz="4" w:space="0"/>
              <w:bottom w:val="single" w:color="auto" w:sz="4" w:space="0"/>
              <w:right w:val="single" w:color="auto" w:sz="4" w:space="0"/>
            </w:tcBorders>
            <w:noWrap w:val="0"/>
            <w:vAlign w:val="center"/>
          </w:tcPr>
          <w:p w14:paraId="311167A8">
            <w:pPr>
              <w:widowControl/>
              <w:spacing w:line="240" w:lineRule="exact"/>
              <w:jc w:val="center"/>
              <w:rPr>
                <w:rFonts w:ascii="宋体" w:hAnsi="宋体" w:eastAsia="宋体" w:cs="宋体"/>
                <w:kern w:val="0"/>
                <w:sz w:val="18"/>
                <w:szCs w:val="18"/>
              </w:rPr>
            </w:pPr>
          </w:p>
        </w:tc>
        <w:tc>
          <w:tcPr>
            <w:tcW w:w="2190" w:type="dxa"/>
            <w:gridSpan w:val="2"/>
            <w:tcBorders>
              <w:top w:val="single" w:color="auto" w:sz="4" w:space="0"/>
              <w:left w:val="nil"/>
              <w:bottom w:val="single" w:color="auto" w:sz="4" w:space="0"/>
              <w:right w:val="single" w:color="auto" w:sz="4" w:space="0"/>
            </w:tcBorders>
            <w:noWrap w:val="0"/>
            <w:vAlign w:val="center"/>
          </w:tcPr>
          <w:p w14:paraId="1208AD7E">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指标2：</w:t>
            </w:r>
            <w:r>
              <w:rPr>
                <w:rFonts w:hint="eastAsia" w:ascii="宋体" w:hAnsi="宋体" w:eastAsia="宋体" w:cs="宋体"/>
                <w:color w:val="000000"/>
                <w:kern w:val="0"/>
                <w:sz w:val="18"/>
                <w:szCs w:val="18"/>
                <w:lang w:val="en-US" w:eastAsia="zh-CN"/>
              </w:rPr>
              <w:t>发放冬季取暖费合规率</w:t>
            </w:r>
          </w:p>
        </w:tc>
        <w:tc>
          <w:tcPr>
            <w:tcW w:w="1007" w:type="dxa"/>
            <w:tcBorders>
              <w:top w:val="nil"/>
              <w:left w:val="nil"/>
              <w:bottom w:val="single" w:color="auto" w:sz="4" w:space="0"/>
              <w:right w:val="single" w:color="auto" w:sz="4" w:space="0"/>
            </w:tcBorders>
            <w:noWrap w:val="0"/>
            <w:vAlign w:val="center"/>
          </w:tcPr>
          <w:p w14:paraId="28FEDAAD">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986" w:type="dxa"/>
            <w:tcBorders>
              <w:top w:val="nil"/>
              <w:left w:val="nil"/>
              <w:bottom w:val="single" w:color="auto" w:sz="4" w:space="0"/>
              <w:right w:val="single" w:color="auto" w:sz="4" w:space="0"/>
            </w:tcBorders>
            <w:noWrap w:val="0"/>
            <w:vAlign w:val="center"/>
          </w:tcPr>
          <w:p w14:paraId="6BCED80B">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666" w:type="dxa"/>
            <w:tcBorders>
              <w:top w:val="nil"/>
              <w:left w:val="nil"/>
              <w:bottom w:val="single" w:color="auto" w:sz="4" w:space="0"/>
              <w:right w:val="single" w:color="auto" w:sz="4" w:space="0"/>
            </w:tcBorders>
            <w:noWrap w:val="0"/>
            <w:vAlign w:val="center"/>
          </w:tcPr>
          <w:p w14:paraId="7F3E05ED">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15</w:t>
            </w:r>
          </w:p>
        </w:tc>
        <w:tc>
          <w:tcPr>
            <w:tcW w:w="651" w:type="dxa"/>
            <w:gridSpan w:val="2"/>
            <w:tcBorders>
              <w:top w:val="nil"/>
              <w:left w:val="nil"/>
              <w:bottom w:val="single" w:color="auto" w:sz="4" w:space="0"/>
              <w:right w:val="single" w:color="auto" w:sz="4" w:space="0"/>
            </w:tcBorders>
            <w:noWrap w:val="0"/>
            <w:vAlign w:val="center"/>
          </w:tcPr>
          <w:p w14:paraId="4936D020">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15</w:t>
            </w:r>
          </w:p>
        </w:tc>
        <w:tc>
          <w:tcPr>
            <w:tcW w:w="1031" w:type="dxa"/>
            <w:gridSpan w:val="2"/>
            <w:tcBorders>
              <w:top w:val="single" w:color="auto" w:sz="4" w:space="0"/>
              <w:left w:val="nil"/>
              <w:bottom w:val="single" w:color="auto" w:sz="4" w:space="0"/>
              <w:right w:val="single" w:color="auto" w:sz="4" w:space="0"/>
            </w:tcBorders>
            <w:noWrap w:val="0"/>
            <w:vAlign w:val="center"/>
          </w:tcPr>
          <w:p w14:paraId="16053E94">
            <w:pPr>
              <w:widowControl/>
              <w:spacing w:line="240" w:lineRule="exact"/>
              <w:jc w:val="center"/>
              <w:rPr>
                <w:rFonts w:ascii="宋体" w:hAnsi="宋体" w:eastAsia="宋体" w:cs="宋体"/>
                <w:kern w:val="0"/>
                <w:sz w:val="18"/>
                <w:szCs w:val="18"/>
                <w:lang w:val="en-US" w:eastAsia="zh-CN" w:bidi="ar-SA"/>
              </w:rPr>
            </w:pPr>
          </w:p>
        </w:tc>
      </w:tr>
      <w:tr w14:paraId="19F8D15D">
        <w:tblPrEx>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noWrap w:val="0"/>
            <w:vAlign w:val="center"/>
          </w:tcPr>
          <w:p w14:paraId="18ADCC42">
            <w:pPr>
              <w:widowControl/>
              <w:spacing w:line="240" w:lineRule="exact"/>
              <w:jc w:val="center"/>
              <w:rPr>
                <w:rFonts w:ascii="宋体" w:hAnsi="宋体" w:eastAsia="宋体" w:cs="宋体"/>
                <w:kern w:val="0"/>
                <w:sz w:val="18"/>
                <w:szCs w:val="18"/>
              </w:rPr>
            </w:pPr>
          </w:p>
        </w:tc>
        <w:tc>
          <w:tcPr>
            <w:tcW w:w="791" w:type="dxa"/>
            <w:vMerge w:val="continue"/>
            <w:tcBorders>
              <w:top w:val="nil"/>
              <w:left w:val="single" w:color="auto" w:sz="4" w:space="0"/>
              <w:bottom w:val="single" w:color="auto" w:sz="4" w:space="0"/>
              <w:right w:val="single" w:color="auto" w:sz="4" w:space="0"/>
            </w:tcBorders>
            <w:noWrap w:val="0"/>
            <w:vAlign w:val="center"/>
          </w:tcPr>
          <w:p w14:paraId="697559D3">
            <w:pPr>
              <w:widowControl/>
              <w:spacing w:line="240" w:lineRule="exact"/>
              <w:jc w:val="center"/>
              <w:rPr>
                <w:rFonts w:ascii="宋体" w:hAnsi="宋体" w:eastAsia="宋体" w:cs="宋体"/>
                <w:kern w:val="0"/>
                <w:sz w:val="18"/>
                <w:szCs w:val="18"/>
              </w:rPr>
            </w:pPr>
          </w:p>
        </w:tc>
        <w:tc>
          <w:tcPr>
            <w:tcW w:w="1170" w:type="dxa"/>
            <w:vMerge w:val="restart"/>
            <w:tcBorders>
              <w:top w:val="nil"/>
              <w:left w:val="single" w:color="auto" w:sz="4" w:space="0"/>
              <w:bottom w:val="single" w:color="auto" w:sz="4" w:space="0"/>
              <w:right w:val="single" w:color="auto" w:sz="4" w:space="0"/>
            </w:tcBorders>
            <w:noWrap w:val="0"/>
            <w:vAlign w:val="center"/>
          </w:tcPr>
          <w:p w14:paraId="595E388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90" w:type="dxa"/>
            <w:gridSpan w:val="2"/>
            <w:tcBorders>
              <w:top w:val="single" w:color="auto" w:sz="4" w:space="0"/>
              <w:left w:val="nil"/>
              <w:bottom w:val="single" w:color="auto" w:sz="4" w:space="0"/>
              <w:right w:val="single" w:color="auto" w:sz="4" w:space="0"/>
            </w:tcBorders>
            <w:noWrap w:val="0"/>
            <w:vAlign w:val="center"/>
          </w:tcPr>
          <w:p w14:paraId="22DAE42F">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指标1：冬季取暖费发放及时率</w:t>
            </w:r>
          </w:p>
        </w:tc>
        <w:tc>
          <w:tcPr>
            <w:tcW w:w="1007" w:type="dxa"/>
            <w:tcBorders>
              <w:top w:val="nil"/>
              <w:left w:val="nil"/>
              <w:bottom w:val="single" w:color="auto" w:sz="4" w:space="0"/>
              <w:right w:val="single" w:color="auto" w:sz="4" w:space="0"/>
            </w:tcBorders>
            <w:noWrap w:val="0"/>
            <w:vAlign w:val="center"/>
          </w:tcPr>
          <w:p w14:paraId="419A3638">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986" w:type="dxa"/>
            <w:tcBorders>
              <w:top w:val="nil"/>
              <w:left w:val="nil"/>
              <w:bottom w:val="single" w:color="auto" w:sz="4" w:space="0"/>
              <w:right w:val="single" w:color="auto" w:sz="4" w:space="0"/>
            </w:tcBorders>
            <w:noWrap w:val="0"/>
            <w:vAlign w:val="center"/>
          </w:tcPr>
          <w:p w14:paraId="0058FD72">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666" w:type="dxa"/>
            <w:tcBorders>
              <w:top w:val="nil"/>
              <w:left w:val="nil"/>
              <w:bottom w:val="single" w:color="auto" w:sz="4" w:space="0"/>
              <w:right w:val="single" w:color="auto" w:sz="4" w:space="0"/>
            </w:tcBorders>
            <w:noWrap w:val="0"/>
            <w:vAlign w:val="center"/>
          </w:tcPr>
          <w:p w14:paraId="469D2BC0">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651" w:type="dxa"/>
            <w:gridSpan w:val="2"/>
            <w:tcBorders>
              <w:top w:val="nil"/>
              <w:left w:val="nil"/>
              <w:bottom w:val="single" w:color="auto" w:sz="4" w:space="0"/>
              <w:right w:val="single" w:color="auto" w:sz="4" w:space="0"/>
            </w:tcBorders>
            <w:noWrap w:val="0"/>
            <w:vAlign w:val="center"/>
          </w:tcPr>
          <w:p w14:paraId="599B7864">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031" w:type="dxa"/>
            <w:gridSpan w:val="2"/>
            <w:tcBorders>
              <w:top w:val="single" w:color="auto" w:sz="4" w:space="0"/>
              <w:left w:val="nil"/>
              <w:bottom w:val="single" w:color="auto" w:sz="4" w:space="0"/>
              <w:right w:val="single" w:color="auto" w:sz="4" w:space="0"/>
            </w:tcBorders>
            <w:noWrap w:val="0"/>
            <w:vAlign w:val="center"/>
          </w:tcPr>
          <w:p w14:paraId="046443A4">
            <w:pPr>
              <w:widowControl/>
              <w:spacing w:line="240" w:lineRule="exact"/>
              <w:jc w:val="center"/>
              <w:rPr>
                <w:rFonts w:ascii="宋体" w:hAnsi="宋体" w:eastAsia="宋体" w:cs="宋体"/>
                <w:kern w:val="0"/>
                <w:sz w:val="18"/>
                <w:szCs w:val="18"/>
                <w:lang w:val="en-US" w:eastAsia="zh-CN" w:bidi="ar-SA"/>
              </w:rPr>
            </w:pPr>
          </w:p>
        </w:tc>
      </w:tr>
      <w:tr w14:paraId="45CED797">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14:paraId="0E63F366">
            <w:pPr>
              <w:widowControl/>
              <w:spacing w:line="240" w:lineRule="exact"/>
              <w:jc w:val="center"/>
              <w:rPr>
                <w:rFonts w:ascii="宋体" w:hAnsi="宋体" w:eastAsia="宋体" w:cs="宋体"/>
                <w:kern w:val="0"/>
                <w:sz w:val="18"/>
                <w:szCs w:val="18"/>
              </w:rPr>
            </w:pPr>
          </w:p>
        </w:tc>
        <w:tc>
          <w:tcPr>
            <w:tcW w:w="791" w:type="dxa"/>
            <w:vMerge w:val="continue"/>
            <w:tcBorders>
              <w:top w:val="nil"/>
              <w:left w:val="single" w:color="auto" w:sz="4" w:space="0"/>
              <w:bottom w:val="single" w:color="auto" w:sz="4" w:space="0"/>
              <w:right w:val="single" w:color="auto" w:sz="4" w:space="0"/>
            </w:tcBorders>
            <w:noWrap w:val="0"/>
            <w:vAlign w:val="center"/>
          </w:tcPr>
          <w:p w14:paraId="2A0ED9B9">
            <w:pPr>
              <w:widowControl/>
              <w:spacing w:line="240" w:lineRule="exact"/>
              <w:jc w:val="center"/>
              <w:rPr>
                <w:rFonts w:ascii="宋体" w:hAnsi="宋体" w:eastAsia="宋体" w:cs="宋体"/>
                <w:kern w:val="0"/>
                <w:sz w:val="18"/>
                <w:szCs w:val="18"/>
              </w:rPr>
            </w:pPr>
          </w:p>
        </w:tc>
        <w:tc>
          <w:tcPr>
            <w:tcW w:w="1170" w:type="dxa"/>
            <w:vMerge w:val="continue"/>
            <w:tcBorders>
              <w:top w:val="nil"/>
              <w:left w:val="single" w:color="auto" w:sz="4" w:space="0"/>
              <w:bottom w:val="single" w:color="auto" w:sz="4" w:space="0"/>
              <w:right w:val="single" w:color="auto" w:sz="4" w:space="0"/>
            </w:tcBorders>
            <w:noWrap w:val="0"/>
            <w:vAlign w:val="center"/>
          </w:tcPr>
          <w:p w14:paraId="023B7CF3">
            <w:pPr>
              <w:widowControl/>
              <w:spacing w:line="240" w:lineRule="exact"/>
              <w:jc w:val="center"/>
              <w:rPr>
                <w:rFonts w:ascii="宋体" w:hAnsi="宋体" w:eastAsia="宋体" w:cs="宋体"/>
                <w:kern w:val="0"/>
                <w:sz w:val="18"/>
                <w:szCs w:val="18"/>
              </w:rPr>
            </w:pPr>
          </w:p>
        </w:tc>
        <w:tc>
          <w:tcPr>
            <w:tcW w:w="2190" w:type="dxa"/>
            <w:gridSpan w:val="2"/>
            <w:tcBorders>
              <w:top w:val="single" w:color="auto" w:sz="4" w:space="0"/>
              <w:left w:val="nil"/>
              <w:bottom w:val="single" w:color="auto" w:sz="4" w:space="0"/>
              <w:right w:val="single" w:color="auto" w:sz="4" w:space="0"/>
            </w:tcBorders>
            <w:noWrap w:val="0"/>
            <w:vAlign w:val="center"/>
          </w:tcPr>
          <w:p w14:paraId="7BEC5926">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指标2：</w:t>
            </w:r>
            <w:r>
              <w:rPr>
                <w:rFonts w:hint="eastAsia" w:ascii="宋体" w:hAnsi="宋体" w:eastAsia="宋体" w:cs="宋体"/>
                <w:color w:val="000000"/>
                <w:kern w:val="0"/>
                <w:sz w:val="18"/>
                <w:szCs w:val="18"/>
                <w:lang w:val="en-US" w:eastAsia="zh-CN"/>
              </w:rPr>
              <w:t>按月缴纳医保及时率</w:t>
            </w:r>
          </w:p>
        </w:tc>
        <w:tc>
          <w:tcPr>
            <w:tcW w:w="1007" w:type="dxa"/>
            <w:tcBorders>
              <w:top w:val="nil"/>
              <w:left w:val="nil"/>
              <w:bottom w:val="single" w:color="auto" w:sz="4" w:space="0"/>
              <w:right w:val="single" w:color="auto" w:sz="4" w:space="0"/>
            </w:tcBorders>
            <w:noWrap w:val="0"/>
            <w:vAlign w:val="center"/>
          </w:tcPr>
          <w:p w14:paraId="6E3AFF46">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986" w:type="dxa"/>
            <w:tcBorders>
              <w:top w:val="nil"/>
              <w:left w:val="nil"/>
              <w:bottom w:val="single" w:color="auto" w:sz="4" w:space="0"/>
              <w:right w:val="single" w:color="auto" w:sz="4" w:space="0"/>
            </w:tcBorders>
            <w:noWrap w:val="0"/>
            <w:vAlign w:val="center"/>
          </w:tcPr>
          <w:p w14:paraId="00B9C7EF">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666" w:type="dxa"/>
            <w:tcBorders>
              <w:top w:val="nil"/>
              <w:left w:val="nil"/>
              <w:bottom w:val="single" w:color="auto" w:sz="4" w:space="0"/>
              <w:right w:val="single" w:color="auto" w:sz="4" w:space="0"/>
            </w:tcBorders>
            <w:noWrap w:val="0"/>
            <w:vAlign w:val="center"/>
          </w:tcPr>
          <w:p w14:paraId="448DC250">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651" w:type="dxa"/>
            <w:gridSpan w:val="2"/>
            <w:tcBorders>
              <w:top w:val="nil"/>
              <w:left w:val="nil"/>
              <w:bottom w:val="single" w:color="auto" w:sz="4" w:space="0"/>
              <w:right w:val="single" w:color="auto" w:sz="4" w:space="0"/>
            </w:tcBorders>
            <w:noWrap w:val="0"/>
            <w:vAlign w:val="center"/>
          </w:tcPr>
          <w:p w14:paraId="1F7F1666">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031" w:type="dxa"/>
            <w:gridSpan w:val="2"/>
            <w:tcBorders>
              <w:top w:val="single" w:color="auto" w:sz="4" w:space="0"/>
              <w:left w:val="nil"/>
              <w:bottom w:val="single" w:color="auto" w:sz="4" w:space="0"/>
              <w:right w:val="single" w:color="auto" w:sz="4" w:space="0"/>
            </w:tcBorders>
            <w:noWrap w:val="0"/>
            <w:vAlign w:val="center"/>
          </w:tcPr>
          <w:p w14:paraId="747C78E0">
            <w:pPr>
              <w:widowControl/>
              <w:spacing w:line="240" w:lineRule="exact"/>
              <w:jc w:val="center"/>
              <w:rPr>
                <w:rFonts w:ascii="宋体" w:hAnsi="宋体" w:eastAsia="宋体" w:cs="宋体"/>
                <w:kern w:val="0"/>
                <w:sz w:val="18"/>
                <w:szCs w:val="18"/>
                <w:lang w:val="en-US" w:eastAsia="zh-CN" w:bidi="ar-SA"/>
              </w:rPr>
            </w:pPr>
          </w:p>
        </w:tc>
      </w:tr>
      <w:tr w14:paraId="211E1F8B">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6FCB5A90">
            <w:pPr>
              <w:widowControl/>
              <w:spacing w:line="240" w:lineRule="exact"/>
              <w:jc w:val="center"/>
              <w:rPr>
                <w:rFonts w:ascii="宋体" w:hAnsi="宋体" w:eastAsia="宋体" w:cs="宋体"/>
                <w:kern w:val="0"/>
                <w:sz w:val="18"/>
                <w:szCs w:val="18"/>
              </w:rPr>
            </w:pPr>
          </w:p>
        </w:tc>
        <w:tc>
          <w:tcPr>
            <w:tcW w:w="791" w:type="dxa"/>
            <w:vMerge w:val="continue"/>
            <w:tcBorders>
              <w:top w:val="nil"/>
              <w:left w:val="single" w:color="auto" w:sz="4" w:space="0"/>
              <w:bottom w:val="single" w:color="auto" w:sz="4" w:space="0"/>
              <w:right w:val="single" w:color="auto" w:sz="4" w:space="0"/>
            </w:tcBorders>
            <w:noWrap w:val="0"/>
            <w:vAlign w:val="center"/>
          </w:tcPr>
          <w:p w14:paraId="07E93BAD">
            <w:pPr>
              <w:widowControl/>
              <w:spacing w:line="240" w:lineRule="exact"/>
              <w:jc w:val="center"/>
              <w:rPr>
                <w:rFonts w:ascii="宋体" w:hAnsi="宋体" w:eastAsia="宋体" w:cs="宋体"/>
                <w:kern w:val="0"/>
                <w:sz w:val="18"/>
                <w:szCs w:val="18"/>
              </w:rPr>
            </w:pPr>
          </w:p>
        </w:tc>
        <w:tc>
          <w:tcPr>
            <w:tcW w:w="1170" w:type="dxa"/>
            <w:vMerge w:val="restart"/>
            <w:tcBorders>
              <w:top w:val="nil"/>
              <w:left w:val="single" w:color="auto" w:sz="4" w:space="0"/>
              <w:bottom w:val="single" w:color="auto" w:sz="4" w:space="0"/>
              <w:right w:val="single" w:color="auto" w:sz="4" w:space="0"/>
            </w:tcBorders>
            <w:noWrap w:val="0"/>
            <w:vAlign w:val="center"/>
          </w:tcPr>
          <w:p w14:paraId="3D51477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14:paraId="61D33F6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90" w:type="dxa"/>
            <w:gridSpan w:val="2"/>
            <w:tcBorders>
              <w:top w:val="single" w:color="auto" w:sz="4" w:space="0"/>
              <w:left w:val="nil"/>
              <w:bottom w:val="single" w:color="auto" w:sz="4" w:space="0"/>
              <w:right w:val="single" w:color="auto" w:sz="4" w:space="0"/>
            </w:tcBorders>
            <w:noWrap w:val="0"/>
            <w:vAlign w:val="center"/>
          </w:tcPr>
          <w:p w14:paraId="6010A9DF">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1007" w:type="dxa"/>
            <w:tcBorders>
              <w:top w:val="nil"/>
              <w:left w:val="nil"/>
              <w:bottom w:val="single" w:color="auto" w:sz="4" w:space="0"/>
              <w:right w:val="single" w:color="auto" w:sz="4" w:space="0"/>
            </w:tcBorders>
            <w:noWrap w:val="0"/>
            <w:vAlign w:val="center"/>
          </w:tcPr>
          <w:p w14:paraId="4CC49258">
            <w:pPr>
              <w:widowControl/>
              <w:spacing w:line="240" w:lineRule="exact"/>
              <w:jc w:val="center"/>
              <w:rPr>
                <w:rFonts w:ascii="宋体" w:hAnsi="宋体" w:eastAsia="宋体" w:cs="宋体"/>
                <w:kern w:val="0"/>
                <w:sz w:val="18"/>
                <w:szCs w:val="18"/>
              </w:rPr>
            </w:pPr>
          </w:p>
        </w:tc>
        <w:tc>
          <w:tcPr>
            <w:tcW w:w="986" w:type="dxa"/>
            <w:tcBorders>
              <w:top w:val="nil"/>
              <w:left w:val="nil"/>
              <w:bottom w:val="single" w:color="auto" w:sz="4" w:space="0"/>
              <w:right w:val="single" w:color="auto" w:sz="4" w:space="0"/>
            </w:tcBorders>
            <w:noWrap w:val="0"/>
            <w:vAlign w:val="center"/>
          </w:tcPr>
          <w:p w14:paraId="1EC68CE9">
            <w:pPr>
              <w:widowControl/>
              <w:spacing w:line="240" w:lineRule="exact"/>
              <w:jc w:val="center"/>
              <w:rPr>
                <w:rFonts w:ascii="宋体" w:hAnsi="宋体" w:eastAsia="宋体" w:cs="宋体"/>
                <w:kern w:val="0"/>
                <w:sz w:val="18"/>
                <w:szCs w:val="18"/>
              </w:rPr>
            </w:pPr>
          </w:p>
        </w:tc>
        <w:tc>
          <w:tcPr>
            <w:tcW w:w="666" w:type="dxa"/>
            <w:tcBorders>
              <w:top w:val="nil"/>
              <w:left w:val="nil"/>
              <w:bottom w:val="single" w:color="auto" w:sz="4" w:space="0"/>
              <w:right w:val="single" w:color="auto" w:sz="4" w:space="0"/>
            </w:tcBorders>
            <w:noWrap w:val="0"/>
            <w:vAlign w:val="center"/>
          </w:tcPr>
          <w:p w14:paraId="2F76E681">
            <w:pPr>
              <w:widowControl/>
              <w:spacing w:line="240" w:lineRule="exact"/>
              <w:jc w:val="center"/>
              <w:rPr>
                <w:rFonts w:ascii="宋体" w:hAnsi="宋体" w:eastAsia="宋体" w:cs="宋体"/>
                <w:kern w:val="0"/>
                <w:sz w:val="18"/>
                <w:szCs w:val="18"/>
              </w:rPr>
            </w:pPr>
          </w:p>
        </w:tc>
        <w:tc>
          <w:tcPr>
            <w:tcW w:w="651" w:type="dxa"/>
            <w:gridSpan w:val="2"/>
            <w:tcBorders>
              <w:top w:val="nil"/>
              <w:left w:val="nil"/>
              <w:bottom w:val="single" w:color="auto" w:sz="4" w:space="0"/>
              <w:right w:val="single" w:color="auto" w:sz="4" w:space="0"/>
            </w:tcBorders>
            <w:noWrap w:val="0"/>
            <w:vAlign w:val="center"/>
          </w:tcPr>
          <w:p w14:paraId="3CC43BE1">
            <w:pPr>
              <w:widowControl/>
              <w:spacing w:line="240" w:lineRule="exact"/>
              <w:jc w:val="center"/>
              <w:rPr>
                <w:rFonts w:ascii="宋体" w:hAnsi="宋体" w:eastAsia="宋体" w:cs="宋体"/>
                <w:kern w:val="0"/>
                <w:sz w:val="18"/>
                <w:szCs w:val="18"/>
              </w:rPr>
            </w:pPr>
          </w:p>
        </w:tc>
        <w:tc>
          <w:tcPr>
            <w:tcW w:w="1031" w:type="dxa"/>
            <w:gridSpan w:val="2"/>
            <w:tcBorders>
              <w:top w:val="single" w:color="auto" w:sz="4" w:space="0"/>
              <w:left w:val="nil"/>
              <w:bottom w:val="single" w:color="auto" w:sz="4" w:space="0"/>
              <w:right w:val="single" w:color="auto" w:sz="4" w:space="0"/>
            </w:tcBorders>
            <w:noWrap w:val="0"/>
            <w:vAlign w:val="center"/>
          </w:tcPr>
          <w:p w14:paraId="27118AF0">
            <w:pPr>
              <w:widowControl/>
              <w:spacing w:line="240" w:lineRule="exact"/>
              <w:jc w:val="center"/>
              <w:rPr>
                <w:rFonts w:ascii="宋体" w:hAnsi="宋体" w:eastAsia="宋体" w:cs="宋体"/>
                <w:kern w:val="0"/>
                <w:sz w:val="18"/>
                <w:szCs w:val="18"/>
              </w:rPr>
            </w:pPr>
          </w:p>
        </w:tc>
      </w:tr>
      <w:tr w14:paraId="0B99E794">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4ABB519A">
            <w:pPr>
              <w:widowControl/>
              <w:spacing w:line="240" w:lineRule="exact"/>
              <w:jc w:val="center"/>
              <w:rPr>
                <w:rFonts w:ascii="宋体" w:hAnsi="宋体" w:eastAsia="宋体" w:cs="宋体"/>
                <w:kern w:val="0"/>
                <w:sz w:val="18"/>
                <w:szCs w:val="18"/>
              </w:rPr>
            </w:pPr>
          </w:p>
        </w:tc>
        <w:tc>
          <w:tcPr>
            <w:tcW w:w="791" w:type="dxa"/>
            <w:vMerge w:val="continue"/>
            <w:tcBorders>
              <w:top w:val="nil"/>
              <w:left w:val="single" w:color="auto" w:sz="4" w:space="0"/>
              <w:bottom w:val="single" w:color="auto" w:sz="4" w:space="0"/>
              <w:right w:val="single" w:color="auto" w:sz="4" w:space="0"/>
            </w:tcBorders>
            <w:noWrap w:val="0"/>
            <w:vAlign w:val="center"/>
          </w:tcPr>
          <w:p w14:paraId="2B98A450">
            <w:pPr>
              <w:widowControl/>
              <w:spacing w:line="240" w:lineRule="exact"/>
              <w:jc w:val="center"/>
              <w:rPr>
                <w:rFonts w:ascii="宋体" w:hAnsi="宋体" w:eastAsia="宋体" w:cs="宋体"/>
                <w:kern w:val="0"/>
                <w:sz w:val="18"/>
                <w:szCs w:val="18"/>
              </w:rPr>
            </w:pPr>
          </w:p>
        </w:tc>
        <w:tc>
          <w:tcPr>
            <w:tcW w:w="1170" w:type="dxa"/>
            <w:vMerge w:val="continue"/>
            <w:tcBorders>
              <w:top w:val="nil"/>
              <w:left w:val="single" w:color="auto" w:sz="4" w:space="0"/>
              <w:bottom w:val="single" w:color="auto" w:sz="4" w:space="0"/>
              <w:right w:val="single" w:color="auto" w:sz="4" w:space="0"/>
            </w:tcBorders>
            <w:noWrap w:val="0"/>
            <w:vAlign w:val="center"/>
          </w:tcPr>
          <w:p w14:paraId="62C62741">
            <w:pPr>
              <w:widowControl/>
              <w:spacing w:line="240" w:lineRule="exact"/>
              <w:jc w:val="center"/>
              <w:rPr>
                <w:rFonts w:ascii="宋体" w:hAnsi="宋体" w:eastAsia="宋体" w:cs="宋体"/>
                <w:kern w:val="0"/>
                <w:sz w:val="18"/>
                <w:szCs w:val="18"/>
              </w:rPr>
            </w:pPr>
          </w:p>
        </w:tc>
        <w:tc>
          <w:tcPr>
            <w:tcW w:w="2190" w:type="dxa"/>
            <w:gridSpan w:val="2"/>
            <w:tcBorders>
              <w:top w:val="single" w:color="auto" w:sz="4" w:space="0"/>
              <w:left w:val="nil"/>
              <w:bottom w:val="single" w:color="auto" w:sz="4" w:space="0"/>
              <w:right w:val="single" w:color="auto" w:sz="4" w:space="0"/>
            </w:tcBorders>
            <w:noWrap w:val="0"/>
            <w:vAlign w:val="center"/>
          </w:tcPr>
          <w:p w14:paraId="6C5FD00E">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007" w:type="dxa"/>
            <w:tcBorders>
              <w:top w:val="nil"/>
              <w:left w:val="nil"/>
              <w:bottom w:val="single" w:color="auto" w:sz="4" w:space="0"/>
              <w:right w:val="single" w:color="auto" w:sz="4" w:space="0"/>
            </w:tcBorders>
            <w:noWrap w:val="0"/>
            <w:vAlign w:val="center"/>
          </w:tcPr>
          <w:p w14:paraId="37364D83">
            <w:pPr>
              <w:widowControl/>
              <w:spacing w:line="240" w:lineRule="exact"/>
              <w:jc w:val="center"/>
              <w:rPr>
                <w:rFonts w:ascii="宋体" w:hAnsi="宋体" w:eastAsia="宋体" w:cs="宋体"/>
                <w:kern w:val="0"/>
                <w:sz w:val="18"/>
                <w:szCs w:val="18"/>
              </w:rPr>
            </w:pPr>
          </w:p>
        </w:tc>
        <w:tc>
          <w:tcPr>
            <w:tcW w:w="986" w:type="dxa"/>
            <w:tcBorders>
              <w:top w:val="nil"/>
              <w:left w:val="nil"/>
              <w:bottom w:val="single" w:color="auto" w:sz="4" w:space="0"/>
              <w:right w:val="single" w:color="auto" w:sz="4" w:space="0"/>
            </w:tcBorders>
            <w:noWrap w:val="0"/>
            <w:vAlign w:val="center"/>
          </w:tcPr>
          <w:p w14:paraId="25AC8774">
            <w:pPr>
              <w:widowControl/>
              <w:spacing w:line="240" w:lineRule="exact"/>
              <w:jc w:val="center"/>
              <w:rPr>
                <w:rFonts w:ascii="宋体" w:hAnsi="宋体" w:eastAsia="宋体" w:cs="宋体"/>
                <w:kern w:val="0"/>
                <w:sz w:val="18"/>
                <w:szCs w:val="18"/>
              </w:rPr>
            </w:pPr>
          </w:p>
        </w:tc>
        <w:tc>
          <w:tcPr>
            <w:tcW w:w="666" w:type="dxa"/>
            <w:tcBorders>
              <w:top w:val="nil"/>
              <w:left w:val="nil"/>
              <w:bottom w:val="single" w:color="auto" w:sz="4" w:space="0"/>
              <w:right w:val="single" w:color="auto" w:sz="4" w:space="0"/>
            </w:tcBorders>
            <w:noWrap w:val="0"/>
            <w:vAlign w:val="center"/>
          </w:tcPr>
          <w:p w14:paraId="18BEAFAB">
            <w:pPr>
              <w:widowControl/>
              <w:spacing w:line="240" w:lineRule="exact"/>
              <w:jc w:val="center"/>
              <w:rPr>
                <w:rFonts w:ascii="宋体" w:hAnsi="宋体" w:eastAsia="宋体" w:cs="宋体"/>
                <w:kern w:val="0"/>
                <w:sz w:val="18"/>
                <w:szCs w:val="18"/>
              </w:rPr>
            </w:pPr>
          </w:p>
        </w:tc>
        <w:tc>
          <w:tcPr>
            <w:tcW w:w="651" w:type="dxa"/>
            <w:gridSpan w:val="2"/>
            <w:tcBorders>
              <w:top w:val="nil"/>
              <w:left w:val="nil"/>
              <w:bottom w:val="single" w:color="auto" w:sz="4" w:space="0"/>
              <w:right w:val="single" w:color="auto" w:sz="4" w:space="0"/>
            </w:tcBorders>
            <w:noWrap w:val="0"/>
            <w:vAlign w:val="center"/>
          </w:tcPr>
          <w:p w14:paraId="412F4C14">
            <w:pPr>
              <w:widowControl/>
              <w:spacing w:line="240" w:lineRule="exact"/>
              <w:jc w:val="center"/>
              <w:rPr>
                <w:rFonts w:ascii="宋体" w:hAnsi="宋体" w:eastAsia="宋体" w:cs="宋体"/>
                <w:kern w:val="0"/>
                <w:sz w:val="18"/>
                <w:szCs w:val="18"/>
              </w:rPr>
            </w:pPr>
          </w:p>
        </w:tc>
        <w:tc>
          <w:tcPr>
            <w:tcW w:w="1031" w:type="dxa"/>
            <w:gridSpan w:val="2"/>
            <w:tcBorders>
              <w:top w:val="single" w:color="auto" w:sz="4" w:space="0"/>
              <w:left w:val="nil"/>
              <w:bottom w:val="single" w:color="auto" w:sz="4" w:space="0"/>
              <w:right w:val="single" w:color="auto" w:sz="4" w:space="0"/>
            </w:tcBorders>
            <w:noWrap w:val="0"/>
            <w:vAlign w:val="center"/>
          </w:tcPr>
          <w:p w14:paraId="5E5D99EA">
            <w:pPr>
              <w:widowControl/>
              <w:spacing w:line="240" w:lineRule="exact"/>
              <w:jc w:val="center"/>
              <w:rPr>
                <w:rFonts w:ascii="宋体" w:hAnsi="宋体" w:eastAsia="宋体" w:cs="宋体"/>
                <w:kern w:val="0"/>
                <w:sz w:val="18"/>
                <w:szCs w:val="18"/>
              </w:rPr>
            </w:pPr>
          </w:p>
        </w:tc>
      </w:tr>
      <w:tr w14:paraId="1F687BFC">
        <w:tblPrEx>
          <w:tblCellMar>
            <w:top w:w="0" w:type="dxa"/>
            <w:left w:w="108" w:type="dxa"/>
            <w:bottom w:w="0" w:type="dxa"/>
            <w:right w:w="108" w:type="dxa"/>
          </w:tblCellMar>
        </w:tblPrEx>
        <w:trPr>
          <w:trHeight w:val="585" w:hRule="exact"/>
          <w:jc w:val="center"/>
        </w:trPr>
        <w:tc>
          <w:tcPr>
            <w:tcW w:w="588" w:type="dxa"/>
            <w:vMerge w:val="continue"/>
            <w:tcBorders>
              <w:left w:val="single" w:color="auto" w:sz="4" w:space="0"/>
              <w:right w:val="single" w:color="auto" w:sz="4" w:space="0"/>
            </w:tcBorders>
            <w:noWrap w:val="0"/>
            <w:vAlign w:val="center"/>
          </w:tcPr>
          <w:p w14:paraId="111E5422">
            <w:pPr>
              <w:widowControl/>
              <w:spacing w:line="240" w:lineRule="exact"/>
              <w:jc w:val="center"/>
              <w:rPr>
                <w:rFonts w:ascii="宋体" w:hAnsi="宋体" w:eastAsia="宋体" w:cs="宋体"/>
                <w:kern w:val="0"/>
                <w:sz w:val="18"/>
                <w:szCs w:val="18"/>
              </w:rPr>
            </w:pPr>
          </w:p>
        </w:tc>
        <w:tc>
          <w:tcPr>
            <w:tcW w:w="791" w:type="dxa"/>
            <w:vMerge w:val="continue"/>
            <w:tcBorders>
              <w:top w:val="nil"/>
              <w:left w:val="single" w:color="auto" w:sz="4" w:space="0"/>
              <w:bottom w:val="single" w:color="auto" w:sz="4" w:space="0"/>
              <w:right w:val="single" w:color="auto" w:sz="4" w:space="0"/>
            </w:tcBorders>
            <w:noWrap w:val="0"/>
            <w:vAlign w:val="center"/>
          </w:tcPr>
          <w:p w14:paraId="64F8A9F0">
            <w:pPr>
              <w:widowControl/>
              <w:spacing w:line="240" w:lineRule="exact"/>
              <w:jc w:val="center"/>
              <w:rPr>
                <w:rFonts w:ascii="宋体" w:hAnsi="宋体" w:eastAsia="宋体" w:cs="宋体"/>
                <w:kern w:val="0"/>
                <w:sz w:val="18"/>
                <w:szCs w:val="18"/>
              </w:rPr>
            </w:pPr>
          </w:p>
        </w:tc>
        <w:tc>
          <w:tcPr>
            <w:tcW w:w="1170" w:type="dxa"/>
            <w:vMerge w:val="restart"/>
            <w:tcBorders>
              <w:top w:val="nil"/>
              <w:left w:val="single" w:color="auto" w:sz="4" w:space="0"/>
              <w:bottom w:val="single" w:color="auto" w:sz="4" w:space="0"/>
              <w:right w:val="single" w:color="auto" w:sz="4" w:space="0"/>
            </w:tcBorders>
            <w:noWrap w:val="0"/>
            <w:vAlign w:val="center"/>
          </w:tcPr>
          <w:p w14:paraId="769037A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90" w:type="dxa"/>
            <w:gridSpan w:val="2"/>
            <w:tcBorders>
              <w:top w:val="single" w:color="auto" w:sz="4" w:space="0"/>
              <w:left w:val="nil"/>
              <w:bottom w:val="single" w:color="auto" w:sz="4" w:space="0"/>
              <w:right w:val="single" w:color="auto" w:sz="4" w:space="0"/>
            </w:tcBorders>
            <w:noWrap w:val="0"/>
            <w:vAlign w:val="center"/>
          </w:tcPr>
          <w:p w14:paraId="017874E7">
            <w:pPr>
              <w:widowControl/>
              <w:spacing w:line="240" w:lineRule="exact"/>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rPr>
              <w:t>指标1：自主择业军转干部</w:t>
            </w:r>
            <w:r>
              <w:rPr>
                <w:rFonts w:hint="eastAsia" w:ascii="宋体" w:hAnsi="宋体" w:eastAsia="宋体" w:cs="宋体"/>
                <w:color w:val="000000"/>
                <w:kern w:val="0"/>
                <w:sz w:val="18"/>
                <w:szCs w:val="18"/>
                <w:lang w:val="en-US" w:eastAsia="zh-CN"/>
              </w:rPr>
              <w:t>相关经费保障率</w:t>
            </w:r>
          </w:p>
        </w:tc>
        <w:tc>
          <w:tcPr>
            <w:tcW w:w="1007" w:type="dxa"/>
            <w:tcBorders>
              <w:top w:val="nil"/>
              <w:left w:val="nil"/>
              <w:bottom w:val="single" w:color="auto" w:sz="4" w:space="0"/>
              <w:right w:val="single" w:color="auto" w:sz="4" w:space="0"/>
            </w:tcBorders>
            <w:noWrap w:val="0"/>
            <w:vAlign w:val="center"/>
          </w:tcPr>
          <w:p w14:paraId="18E3208D">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986" w:type="dxa"/>
            <w:tcBorders>
              <w:top w:val="nil"/>
              <w:left w:val="nil"/>
              <w:bottom w:val="single" w:color="auto" w:sz="4" w:space="0"/>
              <w:right w:val="single" w:color="auto" w:sz="4" w:space="0"/>
            </w:tcBorders>
            <w:noWrap w:val="0"/>
            <w:vAlign w:val="center"/>
          </w:tcPr>
          <w:p w14:paraId="0A48B3CC">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666" w:type="dxa"/>
            <w:tcBorders>
              <w:top w:val="nil"/>
              <w:left w:val="nil"/>
              <w:bottom w:val="single" w:color="auto" w:sz="4" w:space="0"/>
              <w:right w:val="single" w:color="auto" w:sz="4" w:space="0"/>
            </w:tcBorders>
            <w:noWrap w:val="0"/>
            <w:vAlign w:val="center"/>
          </w:tcPr>
          <w:p w14:paraId="2807A801">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651" w:type="dxa"/>
            <w:gridSpan w:val="2"/>
            <w:tcBorders>
              <w:top w:val="nil"/>
              <w:left w:val="nil"/>
              <w:bottom w:val="single" w:color="auto" w:sz="4" w:space="0"/>
              <w:right w:val="single" w:color="auto" w:sz="4" w:space="0"/>
            </w:tcBorders>
            <w:noWrap w:val="0"/>
            <w:vAlign w:val="center"/>
          </w:tcPr>
          <w:p w14:paraId="4E7886F0">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031" w:type="dxa"/>
            <w:gridSpan w:val="2"/>
            <w:tcBorders>
              <w:top w:val="single" w:color="auto" w:sz="4" w:space="0"/>
              <w:left w:val="nil"/>
              <w:bottom w:val="single" w:color="auto" w:sz="4" w:space="0"/>
              <w:right w:val="single" w:color="auto" w:sz="4" w:space="0"/>
            </w:tcBorders>
            <w:noWrap w:val="0"/>
            <w:vAlign w:val="center"/>
          </w:tcPr>
          <w:p w14:paraId="73863A39">
            <w:pPr>
              <w:widowControl/>
              <w:spacing w:line="240" w:lineRule="exact"/>
              <w:jc w:val="center"/>
              <w:rPr>
                <w:rFonts w:ascii="宋体" w:hAnsi="宋体" w:eastAsia="宋体" w:cs="宋体"/>
                <w:kern w:val="0"/>
                <w:sz w:val="18"/>
                <w:szCs w:val="18"/>
              </w:rPr>
            </w:pPr>
          </w:p>
        </w:tc>
      </w:tr>
      <w:tr w14:paraId="36A5D567">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599B220C">
            <w:pPr>
              <w:widowControl/>
              <w:spacing w:line="240" w:lineRule="exact"/>
              <w:jc w:val="center"/>
              <w:rPr>
                <w:rFonts w:ascii="宋体" w:hAnsi="宋体" w:eastAsia="宋体" w:cs="宋体"/>
                <w:kern w:val="0"/>
                <w:sz w:val="18"/>
                <w:szCs w:val="18"/>
              </w:rPr>
            </w:pPr>
          </w:p>
        </w:tc>
        <w:tc>
          <w:tcPr>
            <w:tcW w:w="791" w:type="dxa"/>
            <w:vMerge w:val="continue"/>
            <w:tcBorders>
              <w:top w:val="nil"/>
              <w:left w:val="single" w:color="auto" w:sz="4" w:space="0"/>
              <w:bottom w:val="single" w:color="auto" w:sz="4" w:space="0"/>
              <w:right w:val="single" w:color="auto" w:sz="4" w:space="0"/>
            </w:tcBorders>
            <w:noWrap w:val="0"/>
            <w:vAlign w:val="center"/>
          </w:tcPr>
          <w:p w14:paraId="0B1024B7">
            <w:pPr>
              <w:widowControl/>
              <w:spacing w:line="240" w:lineRule="exact"/>
              <w:jc w:val="center"/>
              <w:rPr>
                <w:rFonts w:ascii="宋体" w:hAnsi="宋体" w:eastAsia="宋体" w:cs="宋体"/>
                <w:kern w:val="0"/>
                <w:sz w:val="18"/>
                <w:szCs w:val="18"/>
              </w:rPr>
            </w:pPr>
          </w:p>
        </w:tc>
        <w:tc>
          <w:tcPr>
            <w:tcW w:w="1170" w:type="dxa"/>
            <w:vMerge w:val="continue"/>
            <w:tcBorders>
              <w:top w:val="nil"/>
              <w:left w:val="single" w:color="auto" w:sz="4" w:space="0"/>
              <w:bottom w:val="single" w:color="auto" w:sz="4" w:space="0"/>
              <w:right w:val="single" w:color="auto" w:sz="4" w:space="0"/>
            </w:tcBorders>
            <w:noWrap w:val="0"/>
            <w:vAlign w:val="center"/>
          </w:tcPr>
          <w:p w14:paraId="44D655D9">
            <w:pPr>
              <w:widowControl/>
              <w:spacing w:line="240" w:lineRule="exact"/>
              <w:jc w:val="center"/>
              <w:rPr>
                <w:rFonts w:ascii="宋体" w:hAnsi="宋体" w:eastAsia="宋体" w:cs="宋体"/>
                <w:kern w:val="0"/>
                <w:sz w:val="18"/>
                <w:szCs w:val="18"/>
              </w:rPr>
            </w:pPr>
          </w:p>
        </w:tc>
        <w:tc>
          <w:tcPr>
            <w:tcW w:w="2190" w:type="dxa"/>
            <w:gridSpan w:val="2"/>
            <w:tcBorders>
              <w:top w:val="single" w:color="auto" w:sz="4" w:space="0"/>
              <w:left w:val="nil"/>
              <w:bottom w:val="single" w:color="auto" w:sz="4" w:space="0"/>
              <w:right w:val="single" w:color="auto" w:sz="4" w:space="0"/>
            </w:tcBorders>
            <w:noWrap w:val="0"/>
            <w:vAlign w:val="center"/>
          </w:tcPr>
          <w:p w14:paraId="21433644">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007" w:type="dxa"/>
            <w:tcBorders>
              <w:top w:val="nil"/>
              <w:left w:val="nil"/>
              <w:bottom w:val="single" w:color="auto" w:sz="4" w:space="0"/>
              <w:right w:val="single" w:color="auto" w:sz="4" w:space="0"/>
            </w:tcBorders>
            <w:noWrap w:val="0"/>
            <w:vAlign w:val="center"/>
          </w:tcPr>
          <w:p w14:paraId="490FFA0B">
            <w:pPr>
              <w:widowControl/>
              <w:spacing w:line="240" w:lineRule="exact"/>
              <w:jc w:val="center"/>
              <w:rPr>
                <w:rFonts w:ascii="宋体" w:hAnsi="宋体" w:eastAsia="宋体" w:cs="宋体"/>
                <w:kern w:val="0"/>
                <w:sz w:val="18"/>
                <w:szCs w:val="18"/>
              </w:rPr>
            </w:pPr>
          </w:p>
        </w:tc>
        <w:tc>
          <w:tcPr>
            <w:tcW w:w="986" w:type="dxa"/>
            <w:tcBorders>
              <w:top w:val="nil"/>
              <w:left w:val="nil"/>
              <w:bottom w:val="single" w:color="auto" w:sz="4" w:space="0"/>
              <w:right w:val="single" w:color="auto" w:sz="4" w:space="0"/>
            </w:tcBorders>
            <w:noWrap w:val="0"/>
            <w:vAlign w:val="center"/>
          </w:tcPr>
          <w:p w14:paraId="6EEE9C99">
            <w:pPr>
              <w:widowControl/>
              <w:spacing w:line="240" w:lineRule="exact"/>
              <w:jc w:val="center"/>
              <w:rPr>
                <w:rFonts w:ascii="宋体" w:hAnsi="宋体" w:eastAsia="宋体" w:cs="宋体"/>
                <w:kern w:val="0"/>
                <w:sz w:val="18"/>
                <w:szCs w:val="18"/>
              </w:rPr>
            </w:pPr>
          </w:p>
        </w:tc>
        <w:tc>
          <w:tcPr>
            <w:tcW w:w="666" w:type="dxa"/>
            <w:tcBorders>
              <w:top w:val="nil"/>
              <w:left w:val="nil"/>
              <w:bottom w:val="single" w:color="auto" w:sz="4" w:space="0"/>
              <w:right w:val="single" w:color="auto" w:sz="4" w:space="0"/>
            </w:tcBorders>
            <w:noWrap w:val="0"/>
            <w:vAlign w:val="center"/>
          </w:tcPr>
          <w:p w14:paraId="4A613825">
            <w:pPr>
              <w:widowControl/>
              <w:spacing w:line="240" w:lineRule="exact"/>
              <w:jc w:val="center"/>
              <w:rPr>
                <w:rFonts w:ascii="宋体" w:hAnsi="宋体" w:eastAsia="宋体" w:cs="宋体"/>
                <w:kern w:val="0"/>
                <w:sz w:val="18"/>
                <w:szCs w:val="18"/>
              </w:rPr>
            </w:pPr>
          </w:p>
        </w:tc>
        <w:tc>
          <w:tcPr>
            <w:tcW w:w="651" w:type="dxa"/>
            <w:gridSpan w:val="2"/>
            <w:tcBorders>
              <w:top w:val="nil"/>
              <w:left w:val="nil"/>
              <w:bottom w:val="single" w:color="auto" w:sz="4" w:space="0"/>
              <w:right w:val="single" w:color="auto" w:sz="4" w:space="0"/>
            </w:tcBorders>
            <w:noWrap w:val="0"/>
            <w:vAlign w:val="center"/>
          </w:tcPr>
          <w:p w14:paraId="2A91DD09">
            <w:pPr>
              <w:widowControl/>
              <w:spacing w:line="240" w:lineRule="exact"/>
              <w:jc w:val="center"/>
              <w:rPr>
                <w:rFonts w:ascii="宋体" w:hAnsi="宋体" w:eastAsia="宋体" w:cs="宋体"/>
                <w:kern w:val="0"/>
                <w:sz w:val="18"/>
                <w:szCs w:val="18"/>
              </w:rPr>
            </w:pPr>
          </w:p>
        </w:tc>
        <w:tc>
          <w:tcPr>
            <w:tcW w:w="1031" w:type="dxa"/>
            <w:gridSpan w:val="2"/>
            <w:tcBorders>
              <w:top w:val="single" w:color="auto" w:sz="4" w:space="0"/>
              <w:left w:val="nil"/>
              <w:bottom w:val="single" w:color="auto" w:sz="4" w:space="0"/>
              <w:right w:val="single" w:color="auto" w:sz="4" w:space="0"/>
            </w:tcBorders>
            <w:noWrap w:val="0"/>
            <w:vAlign w:val="center"/>
          </w:tcPr>
          <w:p w14:paraId="56B373A0">
            <w:pPr>
              <w:widowControl/>
              <w:spacing w:line="240" w:lineRule="exact"/>
              <w:jc w:val="center"/>
              <w:rPr>
                <w:rFonts w:ascii="宋体" w:hAnsi="宋体" w:eastAsia="宋体" w:cs="宋体"/>
                <w:kern w:val="0"/>
                <w:sz w:val="18"/>
                <w:szCs w:val="18"/>
              </w:rPr>
            </w:pPr>
          </w:p>
        </w:tc>
      </w:tr>
      <w:tr w14:paraId="47B825D8">
        <w:tblPrEx>
          <w:tblCellMar>
            <w:top w:w="0" w:type="dxa"/>
            <w:left w:w="108" w:type="dxa"/>
            <w:bottom w:w="0" w:type="dxa"/>
            <w:right w:w="108" w:type="dxa"/>
          </w:tblCellMar>
        </w:tblPrEx>
        <w:trPr>
          <w:trHeight w:val="555" w:hRule="exact"/>
          <w:jc w:val="center"/>
        </w:trPr>
        <w:tc>
          <w:tcPr>
            <w:tcW w:w="588" w:type="dxa"/>
            <w:vMerge w:val="continue"/>
            <w:tcBorders>
              <w:left w:val="single" w:color="auto" w:sz="4" w:space="0"/>
              <w:right w:val="single" w:color="auto" w:sz="4" w:space="0"/>
            </w:tcBorders>
            <w:noWrap w:val="0"/>
            <w:vAlign w:val="center"/>
          </w:tcPr>
          <w:p w14:paraId="116ED305">
            <w:pPr>
              <w:widowControl/>
              <w:spacing w:line="240" w:lineRule="exact"/>
              <w:jc w:val="center"/>
              <w:rPr>
                <w:rFonts w:ascii="宋体" w:hAnsi="宋体" w:eastAsia="宋体" w:cs="宋体"/>
                <w:kern w:val="0"/>
                <w:sz w:val="18"/>
                <w:szCs w:val="18"/>
              </w:rPr>
            </w:pPr>
          </w:p>
        </w:tc>
        <w:tc>
          <w:tcPr>
            <w:tcW w:w="791" w:type="dxa"/>
            <w:tcBorders>
              <w:top w:val="nil"/>
              <w:left w:val="single" w:color="auto" w:sz="4" w:space="0"/>
              <w:right w:val="single" w:color="auto" w:sz="4" w:space="0"/>
            </w:tcBorders>
            <w:noWrap w:val="0"/>
            <w:vAlign w:val="center"/>
          </w:tcPr>
          <w:p w14:paraId="053457B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74C7573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70" w:type="dxa"/>
            <w:tcBorders>
              <w:top w:val="nil"/>
              <w:left w:val="single" w:color="auto" w:sz="4" w:space="0"/>
              <w:bottom w:val="single" w:color="auto" w:sz="4" w:space="0"/>
              <w:right w:val="single" w:color="auto" w:sz="4" w:space="0"/>
            </w:tcBorders>
            <w:noWrap w:val="0"/>
            <w:vAlign w:val="center"/>
          </w:tcPr>
          <w:p w14:paraId="2AA3C65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90" w:type="dxa"/>
            <w:gridSpan w:val="2"/>
            <w:tcBorders>
              <w:top w:val="single" w:color="auto" w:sz="4" w:space="0"/>
              <w:left w:val="nil"/>
              <w:bottom w:val="single" w:color="auto" w:sz="4" w:space="0"/>
              <w:right w:val="single" w:color="auto" w:sz="4" w:space="0"/>
            </w:tcBorders>
            <w:noWrap w:val="0"/>
            <w:vAlign w:val="center"/>
          </w:tcPr>
          <w:p w14:paraId="73BBC5C6">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指标1：自主择业军转干部满意度</w:t>
            </w:r>
          </w:p>
        </w:tc>
        <w:tc>
          <w:tcPr>
            <w:tcW w:w="1007" w:type="dxa"/>
            <w:tcBorders>
              <w:top w:val="nil"/>
              <w:left w:val="nil"/>
              <w:bottom w:val="single" w:color="auto" w:sz="4" w:space="0"/>
              <w:right w:val="single" w:color="auto" w:sz="4" w:space="0"/>
            </w:tcBorders>
            <w:noWrap w:val="0"/>
            <w:vAlign w:val="center"/>
          </w:tcPr>
          <w:p w14:paraId="7D0E8B58">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986" w:type="dxa"/>
            <w:tcBorders>
              <w:top w:val="nil"/>
              <w:left w:val="nil"/>
              <w:bottom w:val="single" w:color="auto" w:sz="4" w:space="0"/>
              <w:right w:val="single" w:color="auto" w:sz="4" w:space="0"/>
            </w:tcBorders>
            <w:noWrap w:val="0"/>
            <w:vAlign w:val="center"/>
          </w:tcPr>
          <w:p w14:paraId="0D1711C3">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666" w:type="dxa"/>
            <w:tcBorders>
              <w:top w:val="nil"/>
              <w:left w:val="nil"/>
              <w:bottom w:val="single" w:color="auto" w:sz="4" w:space="0"/>
              <w:right w:val="single" w:color="auto" w:sz="4" w:space="0"/>
            </w:tcBorders>
            <w:noWrap w:val="0"/>
            <w:vAlign w:val="center"/>
          </w:tcPr>
          <w:p w14:paraId="4174BDBF">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651" w:type="dxa"/>
            <w:gridSpan w:val="2"/>
            <w:tcBorders>
              <w:top w:val="nil"/>
              <w:left w:val="nil"/>
              <w:bottom w:val="single" w:color="auto" w:sz="4" w:space="0"/>
              <w:right w:val="single" w:color="auto" w:sz="4" w:space="0"/>
            </w:tcBorders>
            <w:noWrap w:val="0"/>
            <w:vAlign w:val="center"/>
          </w:tcPr>
          <w:p w14:paraId="111D9F75">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031" w:type="dxa"/>
            <w:gridSpan w:val="2"/>
            <w:tcBorders>
              <w:top w:val="single" w:color="auto" w:sz="4" w:space="0"/>
              <w:left w:val="nil"/>
              <w:bottom w:val="single" w:color="auto" w:sz="4" w:space="0"/>
              <w:right w:val="single" w:color="auto" w:sz="4" w:space="0"/>
            </w:tcBorders>
            <w:noWrap w:val="0"/>
            <w:vAlign w:val="center"/>
          </w:tcPr>
          <w:p w14:paraId="3FC98A03">
            <w:pPr>
              <w:widowControl/>
              <w:spacing w:line="240" w:lineRule="exact"/>
              <w:jc w:val="center"/>
              <w:rPr>
                <w:rFonts w:ascii="宋体" w:hAnsi="宋体" w:eastAsia="宋体" w:cs="宋体"/>
                <w:kern w:val="0"/>
                <w:sz w:val="18"/>
                <w:szCs w:val="18"/>
                <w:lang w:val="en-US" w:eastAsia="zh-CN" w:bidi="ar-SA"/>
              </w:rPr>
            </w:pPr>
          </w:p>
        </w:tc>
      </w:tr>
      <w:tr w14:paraId="6AE11689">
        <w:tblPrEx>
          <w:tblCellMar>
            <w:top w:w="0" w:type="dxa"/>
            <w:left w:w="108" w:type="dxa"/>
            <w:bottom w:w="0" w:type="dxa"/>
            <w:right w:w="108" w:type="dxa"/>
          </w:tblCellMar>
        </w:tblPrEx>
        <w:trPr>
          <w:trHeight w:val="300" w:hRule="exact"/>
          <w:jc w:val="center"/>
        </w:trPr>
        <w:tc>
          <w:tcPr>
            <w:tcW w:w="6732" w:type="dxa"/>
            <w:gridSpan w:val="7"/>
            <w:tcBorders>
              <w:top w:val="single" w:color="auto" w:sz="4" w:space="0"/>
              <w:left w:val="single" w:color="auto" w:sz="4" w:space="0"/>
              <w:bottom w:val="single" w:color="auto" w:sz="4" w:space="0"/>
              <w:right w:val="single" w:color="auto" w:sz="4" w:space="0"/>
            </w:tcBorders>
            <w:noWrap w:val="0"/>
            <w:vAlign w:val="center"/>
          </w:tcPr>
          <w:p w14:paraId="48A575A2">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666" w:type="dxa"/>
            <w:tcBorders>
              <w:top w:val="nil"/>
              <w:left w:val="nil"/>
              <w:bottom w:val="single" w:color="auto" w:sz="4" w:space="0"/>
              <w:right w:val="single" w:color="auto" w:sz="4" w:space="0"/>
            </w:tcBorders>
            <w:noWrap w:val="0"/>
            <w:vAlign w:val="center"/>
          </w:tcPr>
          <w:p w14:paraId="2059CD10">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651" w:type="dxa"/>
            <w:gridSpan w:val="2"/>
            <w:tcBorders>
              <w:top w:val="nil"/>
              <w:left w:val="nil"/>
              <w:bottom w:val="single" w:color="auto" w:sz="4" w:space="0"/>
              <w:right w:val="single" w:color="auto" w:sz="4" w:space="0"/>
            </w:tcBorders>
            <w:noWrap w:val="0"/>
            <w:vAlign w:val="center"/>
          </w:tcPr>
          <w:p w14:paraId="22730501">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95.2</w:t>
            </w:r>
          </w:p>
        </w:tc>
        <w:tc>
          <w:tcPr>
            <w:tcW w:w="1031" w:type="dxa"/>
            <w:gridSpan w:val="2"/>
            <w:tcBorders>
              <w:top w:val="single" w:color="auto" w:sz="4" w:space="0"/>
              <w:left w:val="nil"/>
              <w:bottom w:val="single" w:color="auto" w:sz="4" w:space="0"/>
              <w:right w:val="single" w:color="auto" w:sz="4" w:space="0"/>
            </w:tcBorders>
            <w:noWrap w:val="0"/>
            <w:vAlign w:val="center"/>
          </w:tcPr>
          <w:p w14:paraId="27BE8804">
            <w:pPr>
              <w:widowControl/>
              <w:spacing w:line="240" w:lineRule="exact"/>
              <w:jc w:val="center"/>
              <w:rPr>
                <w:rFonts w:ascii="宋体" w:hAnsi="宋体" w:eastAsia="宋体" w:cs="宋体"/>
                <w:kern w:val="0"/>
                <w:sz w:val="18"/>
                <w:szCs w:val="18"/>
              </w:rPr>
            </w:pPr>
          </w:p>
        </w:tc>
      </w:tr>
    </w:tbl>
    <w:p w14:paraId="10C944B8">
      <w:pPr>
        <w:widowControl/>
        <w:spacing w:line="600" w:lineRule="exact"/>
        <w:ind w:firstLine="640" w:firstLineChars="200"/>
        <w:jc w:val="both"/>
        <w:rPr>
          <w:rFonts w:hint="eastAsia" w:ascii="仿宋" w:hAnsi="仿宋" w:eastAsia="仿宋" w:cs="仿宋_GB2312"/>
          <w:kern w:val="0"/>
          <w:sz w:val="32"/>
          <w:szCs w:val="32"/>
          <w:lang w:val="en-US" w:eastAsia="zh-CN"/>
        </w:rPr>
      </w:pPr>
    </w:p>
    <w:p w14:paraId="1C716B7F">
      <w:pPr>
        <w:widowControl/>
        <w:spacing w:line="600" w:lineRule="exact"/>
        <w:jc w:val="center"/>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第四部分  名词解释</w:t>
      </w:r>
    </w:p>
    <w:p w14:paraId="75CE5033">
      <w:pPr>
        <w:pStyle w:val="6"/>
        <w:spacing w:line="600" w:lineRule="atLeast"/>
        <w:ind w:firstLine="600"/>
        <w:rPr>
          <w:rFonts w:hint="eastAsia" w:ascii="仿宋" w:hAnsi="仿宋" w:eastAsia="仿宋"/>
          <w:sz w:val="32"/>
          <w:szCs w:val="32"/>
        </w:rPr>
      </w:pPr>
    </w:p>
    <w:p w14:paraId="6C2146E6">
      <w:pPr>
        <w:widowControl/>
        <w:spacing w:line="580" w:lineRule="exact"/>
        <w:ind w:firstLine="643" w:firstLineChars="200"/>
        <w:jc w:val="left"/>
        <w:rPr>
          <w:rFonts w:hint="eastAsia" w:ascii="仿宋" w:hAnsi="仿宋" w:eastAsia="仿宋"/>
          <w:b/>
          <w:bCs/>
          <w:kern w:val="0"/>
          <w:sz w:val="32"/>
          <w:szCs w:val="32"/>
        </w:rPr>
      </w:pPr>
      <w:r>
        <w:rPr>
          <w:rFonts w:hint="eastAsia" w:ascii="仿宋" w:hAnsi="仿宋" w:eastAsia="仿宋"/>
          <w:b/>
          <w:bCs/>
          <w:kern w:val="0"/>
          <w:sz w:val="32"/>
          <w:szCs w:val="32"/>
        </w:rPr>
        <w:t>一、收入科目</w:t>
      </w:r>
    </w:p>
    <w:p w14:paraId="5ED784CF">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（一）财政拨款：指市级财政当年拨付的资金。</w:t>
      </w:r>
    </w:p>
    <w:p w14:paraId="23DB8980">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tLeast"/>
        <w:ind w:left="0" w:right="0" w:firstLine="640" w:firstLineChars="200"/>
        <w:jc w:val="left"/>
        <w:textAlignment w:val="auto"/>
        <w:rPr>
          <w:rFonts w:hint="default" w:eastAsia="仿宋"/>
          <w:sz w:val="22"/>
          <w:szCs w:val="21"/>
          <w:lang w:val="en-US" w:eastAsia="zh-CN"/>
        </w:rPr>
      </w:pPr>
      <w:r>
        <w:rPr>
          <w:rFonts w:hint="eastAsia" w:ascii="仿宋" w:hAnsi="仿宋" w:eastAsia="仿宋"/>
          <w:kern w:val="0"/>
          <w:sz w:val="32"/>
          <w:szCs w:val="32"/>
          <w:lang w:val="en-US" w:eastAsia="zh-CN"/>
        </w:rPr>
        <w:t>（二）</w:t>
      </w:r>
      <w:r>
        <w:rPr>
          <w:rFonts w:hint="eastAsia" w:ascii="仿宋" w:hAnsi="仿宋" w:eastAsia="仿宋" w:cs="仿宋"/>
          <w:kern w:val="0"/>
          <w:sz w:val="32"/>
          <w:szCs w:val="32"/>
          <w:lang w:val="en-US" w:eastAsia="zh-CN" w:bidi="ar"/>
        </w:rPr>
        <w:t>其他收入：指除财政拨款、事业收入、事业单位经营收入等以外的各项收入。</w:t>
      </w:r>
    </w:p>
    <w:p w14:paraId="52FA9029">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三</w:t>
      </w:r>
      <w:r>
        <w:rPr>
          <w:rFonts w:hint="eastAsia" w:ascii="仿宋" w:hAnsi="仿宋" w:eastAsia="仿宋"/>
          <w:kern w:val="0"/>
          <w:sz w:val="32"/>
          <w:szCs w:val="32"/>
        </w:rPr>
        <w:t>）上年结转和结余：填列</w:t>
      </w:r>
      <w:r>
        <w:rPr>
          <w:rFonts w:hint="eastAsia" w:ascii="仿宋" w:hAnsi="仿宋" w:eastAsia="仿宋"/>
          <w:kern w:val="0"/>
          <w:sz w:val="32"/>
          <w:szCs w:val="32"/>
          <w:lang w:eastAsia="zh-CN"/>
        </w:rPr>
        <w:t>2022</w:t>
      </w:r>
      <w:r>
        <w:rPr>
          <w:rFonts w:hint="eastAsia" w:ascii="仿宋" w:hAnsi="仿宋" w:eastAsia="仿宋"/>
          <w:kern w:val="0"/>
          <w:sz w:val="32"/>
          <w:szCs w:val="32"/>
        </w:rPr>
        <w:t>年全部结转和结余的资金数，包括当年结转结余资金和历年滚存结转结余资金。</w:t>
      </w:r>
    </w:p>
    <w:p w14:paraId="3B644561">
      <w:pPr>
        <w:widowControl/>
        <w:spacing w:line="580" w:lineRule="exact"/>
        <w:ind w:firstLine="643" w:firstLineChars="200"/>
        <w:jc w:val="left"/>
        <w:rPr>
          <w:rFonts w:hint="eastAsia" w:ascii="仿宋" w:hAnsi="仿宋" w:eastAsia="仿宋"/>
          <w:b/>
          <w:bCs/>
          <w:kern w:val="0"/>
          <w:sz w:val="32"/>
          <w:szCs w:val="32"/>
        </w:rPr>
      </w:pPr>
      <w:r>
        <w:rPr>
          <w:rFonts w:hint="eastAsia" w:ascii="仿宋" w:hAnsi="仿宋" w:eastAsia="仿宋"/>
          <w:b/>
          <w:bCs/>
          <w:kern w:val="0"/>
          <w:sz w:val="32"/>
          <w:szCs w:val="32"/>
        </w:rPr>
        <w:t>二、支出科目</w:t>
      </w:r>
    </w:p>
    <w:p w14:paraId="30DB86A1">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（一）基本支出：反映为保障机构正常运转、完成日常 工作任务而发生的人员支出和公用支出。 </w:t>
      </w:r>
    </w:p>
    <w:p w14:paraId="666E55BF">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（二）项目支出：反映在基本支出之外为完成特定行政任务和事业发展目标所发生的支出。</w:t>
      </w:r>
    </w:p>
    <w:p w14:paraId="4EB6323E">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 xml:space="preserve">）“三公”经费：反映纳入财政预决算管理的“三 公”经费，包括因公出国（境）费、公务用车购置及运行费、公务接待费。其中，因公出国（境）费反映单位公务出国（境）的国际旅费、国外城市间交通费、住宿费、伙食费、培训费、公杂费等支出；公务用车购置及运行费反映单位公务用车车 辆购置支出（含车辆购置税）及租用费、燃料费、维修费、过路过桥费、保险费、安全奖励费用等支出；公务接待费反 映单位按规定开支的各类公务接待（含外宾接待）支出。 </w:t>
      </w:r>
    </w:p>
    <w:p w14:paraId="60C60529">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机关运行经费：为保障行政单位（包括参照公务员法管理的事业单位）运行，用于购买货物和服务的各项资金。包括办公费、印刷费、水电费、邮电费、物业管理费、差旅费、会议费、福利费、维修（护）费、培训费、专用材料费、办公设备及办公家俱购置费、劳务费、因公出国（境）费、公务用车购置及运行费、公务接待费、其他交通费以及其他费用。</w:t>
      </w:r>
    </w:p>
    <w:p w14:paraId="2DD759FD">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五</w:t>
      </w:r>
      <w:r>
        <w:rPr>
          <w:rFonts w:hint="eastAsia" w:ascii="仿宋" w:hAnsi="仿宋" w:eastAsia="仿宋"/>
          <w:kern w:val="0"/>
          <w:sz w:val="32"/>
          <w:szCs w:val="32"/>
        </w:rPr>
        <w:t>）社会保障和就业支出（类）行政事业单位养老支出（款）行政单位离退休（项）：反映行政单位（包括实行公务员管理的事业单位）开支的离退休经费。</w:t>
      </w:r>
    </w:p>
    <w:p w14:paraId="3CDE5CF3">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六</w:t>
      </w:r>
      <w:r>
        <w:rPr>
          <w:rFonts w:hint="eastAsia" w:ascii="仿宋" w:hAnsi="仿宋" w:eastAsia="仿宋"/>
          <w:kern w:val="0"/>
          <w:sz w:val="32"/>
          <w:szCs w:val="32"/>
        </w:rPr>
        <w:t>）社会保障和就业支出（类）行政事业单位养老支出（款）事业单位离退休（项）：反映事业单位开支的离退休经费。</w:t>
      </w:r>
    </w:p>
    <w:p w14:paraId="6560F614">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七</w:t>
      </w:r>
      <w:r>
        <w:rPr>
          <w:rFonts w:hint="eastAsia" w:ascii="仿宋" w:hAnsi="仿宋" w:eastAsia="仿宋"/>
          <w:kern w:val="0"/>
          <w:sz w:val="32"/>
          <w:szCs w:val="32"/>
        </w:rPr>
        <w:t>）社会保障和就业支出（类）行政事业单位养老支出（款）机关事业单位基本养老保险缴费支出（项）：反映机关事业单位实施养老保险制度由单位缴纳的基本养老保险费支出。</w:t>
      </w:r>
    </w:p>
    <w:p w14:paraId="5A1572A4">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八</w:t>
      </w:r>
      <w:r>
        <w:rPr>
          <w:rFonts w:hint="eastAsia" w:ascii="仿宋" w:hAnsi="仿宋" w:eastAsia="仿宋"/>
          <w:kern w:val="0"/>
          <w:sz w:val="32"/>
          <w:szCs w:val="32"/>
        </w:rPr>
        <w:t>）社会保障和就业支出（类）抚恤（款）其他优抚支出（项）：反映春节及八一走访慰问项目支出。</w:t>
      </w:r>
    </w:p>
    <w:p w14:paraId="2DC794F7">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九</w:t>
      </w:r>
      <w:r>
        <w:rPr>
          <w:rFonts w:hint="eastAsia" w:ascii="仿宋" w:hAnsi="仿宋" w:eastAsia="仿宋"/>
          <w:kern w:val="0"/>
          <w:sz w:val="32"/>
          <w:szCs w:val="32"/>
        </w:rPr>
        <w:t>）社会保障和就业支出（类）退役安置（款） 退役士兵安置（项）：对符合条件的退役士兵、转业士官的安置支出。</w:t>
      </w:r>
    </w:p>
    <w:p w14:paraId="627FE959">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w:t>
      </w:r>
      <w:r>
        <w:rPr>
          <w:rFonts w:hint="eastAsia" w:ascii="仿宋" w:hAnsi="仿宋" w:eastAsia="仿宋"/>
          <w:kern w:val="0"/>
          <w:sz w:val="32"/>
          <w:szCs w:val="32"/>
        </w:rPr>
        <w:t>）社会保障和就业支出（类）退役安置（款） 军队移交政府离退休干部管理机构（项）：反应民政部门管理的军休所的人员经费、公用经费以及管理机构用法建设经费等支出。</w:t>
      </w:r>
    </w:p>
    <w:p w14:paraId="245B91CB">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十一</w:t>
      </w:r>
      <w:r>
        <w:rPr>
          <w:rFonts w:hint="eastAsia" w:ascii="仿宋" w:hAnsi="仿宋" w:eastAsia="仿宋"/>
          <w:kern w:val="0"/>
          <w:sz w:val="32"/>
          <w:szCs w:val="32"/>
        </w:rPr>
        <w:t>）社会保障和就业支出（类）退役安置（款） 军队转业干部安置（项）：反映军转干部安置、人员经费、自主择业退役金等方面的支出。</w:t>
      </w:r>
    </w:p>
    <w:p w14:paraId="28431146">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十二</w:t>
      </w:r>
      <w:r>
        <w:rPr>
          <w:rFonts w:hint="eastAsia" w:ascii="仿宋" w:hAnsi="仿宋" w:eastAsia="仿宋"/>
          <w:kern w:val="0"/>
          <w:sz w:val="32"/>
          <w:szCs w:val="32"/>
        </w:rPr>
        <w:t>）社会保障和就业支出（类）退役安置（款） 其他退役安置支出（项）：反映上述项目以外的用于退役安置方面的支出。</w:t>
      </w:r>
    </w:p>
    <w:p w14:paraId="6B7CFD9D">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十三</w:t>
      </w:r>
      <w:r>
        <w:rPr>
          <w:rFonts w:hint="eastAsia" w:ascii="仿宋" w:hAnsi="仿宋" w:eastAsia="仿宋"/>
          <w:kern w:val="0"/>
          <w:sz w:val="32"/>
          <w:szCs w:val="32"/>
        </w:rPr>
        <w:t>）社会保障和就业支出（类）退役军人管理事务（款） 行政运行（项）：反映行政单位的基本支出。</w:t>
      </w:r>
    </w:p>
    <w:p w14:paraId="40FE1DC2">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四</w:t>
      </w:r>
      <w:r>
        <w:rPr>
          <w:rFonts w:hint="eastAsia" w:ascii="仿宋" w:hAnsi="仿宋" w:eastAsia="仿宋"/>
          <w:kern w:val="0"/>
          <w:sz w:val="32"/>
          <w:szCs w:val="32"/>
        </w:rPr>
        <w:t>）社会保障和就业支出（类）退役军人管理事务（款） 拥军优属（项）：反映拥军优属活动的支出。</w:t>
      </w:r>
    </w:p>
    <w:p w14:paraId="00A17C65">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五</w:t>
      </w:r>
      <w:r>
        <w:rPr>
          <w:rFonts w:hint="eastAsia" w:ascii="仿宋" w:hAnsi="仿宋" w:eastAsia="仿宋"/>
          <w:kern w:val="0"/>
          <w:sz w:val="32"/>
          <w:szCs w:val="32"/>
        </w:rPr>
        <w:t>）社会保障和就业支出（类）退役军人管理事务（款） 部队供应（项）：反映军供站等用于保障军队运输和饮食供应的支出。</w:t>
      </w:r>
    </w:p>
    <w:p w14:paraId="3F264496">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六</w:t>
      </w:r>
      <w:r>
        <w:rPr>
          <w:rFonts w:hint="eastAsia" w:ascii="仿宋" w:hAnsi="仿宋" w:eastAsia="仿宋"/>
          <w:kern w:val="0"/>
          <w:sz w:val="32"/>
          <w:szCs w:val="32"/>
        </w:rPr>
        <w:t>）社会保障和就业支出（类）退役军人管理事务（款） 其他退役军人事务管理支出（项）：反映除上述项目以外的其他用于退役军人事务管理方面的支出。</w:t>
      </w:r>
    </w:p>
    <w:p w14:paraId="5D8509E1">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七</w:t>
      </w:r>
      <w:r>
        <w:rPr>
          <w:rFonts w:hint="eastAsia" w:ascii="仿宋" w:hAnsi="仿宋" w:eastAsia="仿宋"/>
          <w:kern w:val="0"/>
          <w:sz w:val="32"/>
          <w:szCs w:val="32"/>
        </w:rPr>
        <w:t>）社会保障和就业支出（类）其他社会保障和就业支出（款）其他社会保障和就业支出（项）：反映其他用于其他社会保障和就业支出方面的支出。</w:t>
      </w:r>
    </w:p>
    <w:p w14:paraId="39A825BD">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八</w:t>
      </w:r>
      <w:r>
        <w:rPr>
          <w:rFonts w:hint="eastAsia" w:ascii="仿宋" w:hAnsi="仿宋" w:eastAsia="仿宋"/>
          <w:kern w:val="0"/>
          <w:sz w:val="32"/>
          <w:szCs w:val="32"/>
        </w:rPr>
        <w:t>）卫生健康支出（类）行政事业单位医疗（款）行政单位医疗（项）：反映财政部门安排的行政单位（包括实行公务员管理的事业单位）基本医疗保险缴费经费。</w:t>
      </w:r>
    </w:p>
    <w:p w14:paraId="5057A6D9">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十九</w:t>
      </w:r>
      <w:r>
        <w:rPr>
          <w:rFonts w:hint="eastAsia" w:ascii="仿宋" w:hAnsi="仿宋" w:eastAsia="仿宋"/>
          <w:kern w:val="0"/>
          <w:sz w:val="32"/>
          <w:szCs w:val="32"/>
        </w:rPr>
        <w:t>）卫生健康支出（类）行政事业单位医疗（款）事业单位医疗（项）：反映财政部门安排的事业单位基本医疗保险缴费经费。</w:t>
      </w:r>
    </w:p>
    <w:p w14:paraId="60FFCE08">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二十</w:t>
      </w:r>
      <w:r>
        <w:rPr>
          <w:rFonts w:hint="eastAsia" w:ascii="仿宋" w:hAnsi="仿宋" w:eastAsia="仿宋"/>
          <w:kern w:val="0"/>
          <w:sz w:val="32"/>
          <w:szCs w:val="32"/>
        </w:rPr>
        <w:t>）卫生健康支出（类）行政事业单位医疗（款）公务员医疗补助（项）：反映财政部门安排的公务员医疗补助经费。</w:t>
      </w:r>
    </w:p>
    <w:p w14:paraId="299BD667">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二十一</w:t>
      </w:r>
      <w:r>
        <w:rPr>
          <w:rFonts w:hint="eastAsia" w:ascii="仿宋" w:hAnsi="仿宋" w:eastAsia="仿宋"/>
          <w:kern w:val="0"/>
          <w:sz w:val="32"/>
          <w:szCs w:val="32"/>
        </w:rPr>
        <w:t>）卫生健康支出（类）行政事业单位医疗（款）其他行政事业单位医疗支出（项）：反映除上述项目以外的其他用于行政事业单位医疗方面的支出。</w:t>
      </w:r>
    </w:p>
    <w:p w14:paraId="7B1FC15E">
      <w:pPr>
        <w:ind w:firstLine="640" w:firstLineChars="200"/>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二十二</w:t>
      </w:r>
      <w:r>
        <w:rPr>
          <w:rFonts w:hint="eastAsia" w:ascii="仿宋" w:hAnsi="仿宋" w:eastAsia="仿宋"/>
          <w:kern w:val="0"/>
          <w:sz w:val="32"/>
          <w:szCs w:val="32"/>
        </w:rPr>
        <w:t xml:space="preserve">）住房保障支出（类） 住房改革支出（款）住房公积金（项）：住房公积金的支出。 </w:t>
      </w:r>
    </w:p>
    <w:p w14:paraId="03E9070E">
      <w:pPr>
        <w:pStyle w:val="2"/>
        <w:rPr>
          <w:rFonts w:hint="eastAsia" w:ascii="仿宋" w:hAnsi="仿宋" w:eastAsia="仿宋"/>
          <w:kern w:val="0"/>
          <w:sz w:val="30"/>
          <w:szCs w:val="30"/>
        </w:rPr>
      </w:pPr>
    </w:p>
    <w:p w14:paraId="5B86F1EF">
      <w:pPr>
        <w:pStyle w:val="2"/>
        <w:rPr>
          <w:rFonts w:hint="eastAsia" w:ascii="仿宋" w:hAnsi="仿宋" w:eastAsia="仿宋"/>
          <w:kern w:val="0"/>
          <w:sz w:val="30"/>
          <w:szCs w:val="30"/>
        </w:rPr>
      </w:pPr>
    </w:p>
    <w:p w14:paraId="1A62B352">
      <w:pPr>
        <w:pStyle w:val="2"/>
        <w:rPr>
          <w:rFonts w:hint="eastAsia" w:ascii="仿宋" w:hAnsi="仿宋" w:eastAsia="仿宋"/>
          <w:kern w:val="0"/>
          <w:sz w:val="30"/>
          <w:szCs w:val="30"/>
        </w:rPr>
      </w:pPr>
    </w:p>
    <w:p w14:paraId="159B1DE2">
      <w:pPr>
        <w:pStyle w:val="2"/>
        <w:jc w:val="right"/>
        <w:rPr>
          <w:rFonts w:hint="default" w:ascii="仿宋" w:hAnsi="仿宋" w:eastAsia="仿宋"/>
          <w:kern w:val="0"/>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7351F3"/>
    <w:multiLevelType w:val="singleLevel"/>
    <w:tmpl w:val="267351F3"/>
    <w:lvl w:ilvl="0" w:tentative="0">
      <w:start w:val="1"/>
      <w:numFmt w:val="chineseCounting"/>
      <w:suff w:val="nothing"/>
      <w:lvlText w:val="（%1）"/>
      <w:lvlJc w:val="left"/>
      <w:rPr>
        <w:rFonts w:hint="eastAsia"/>
      </w:rPr>
    </w:lvl>
  </w:abstractNum>
  <w:abstractNum w:abstractNumId="1">
    <w:nsid w:val="508790A7"/>
    <w:multiLevelType w:val="singleLevel"/>
    <w:tmpl w:val="508790A7"/>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OWFjNGFmMDFjYjY3OTU5YTc5MGYxZmU2Y2M4ZTQifQ=="/>
  </w:docVars>
  <w:rsids>
    <w:rsidRoot w:val="00000000"/>
    <w:rsid w:val="09B34BF4"/>
    <w:rsid w:val="0A522CFE"/>
    <w:rsid w:val="0C911298"/>
    <w:rsid w:val="0E7B0089"/>
    <w:rsid w:val="0F1B0B98"/>
    <w:rsid w:val="0F470958"/>
    <w:rsid w:val="0FDE12D6"/>
    <w:rsid w:val="1292638E"/>
    <w:rsid w:val="158E5532"/>
    <w:rsid w:val="15E6711C"/>
    <w:rsid w:val="17696E9C"/>
    <w:rsid w:val="18585D1C"/>
    <w:rsid w:val="1871343F"/>
    <w:rsid w:val="1B0A5729"/>
    <w:rsid w:val="1DB55626"/>
    <w:rsid w:val="20F628BA"/>
    <w:rsid w:val="22467145"/>
    <w:rsid w:val="234731C4"/>
    <w:rsid w:val="236B0C61"/>
    <w:rsid w:val="262C5BFB"/>
    <w:rsid w:val="2AAF6DEF"/>
    <w:rsid w:val="352A495A"/>
    <w:rsid w:val="3793334B"/>
    <w:rsid w:val="37FC07D4"/>
    <w:rsid w:val="380A3C85"/>
    <w:rsid w:val="3C160F53"/>
    <w:rsid w:val="40F811CF"/>
    <w:rsid w:val="42731B53"/>
    <w:rsid w:val="42E90224"/>
    <w:rsid w:val="48871C9E"/>
    <w:rsid w:val="49A330F3"/>
    <w:rsid w:val="4B633824"/>
    <w:rsid w:val="4B63653E"/>
    <w:rsid w:val="4C4F2212"/>
    <w:rsid w:val="4F1E3AEE"/>
    <w:rsid w:val="511C3F63"/>
    <w:rsid w:val="53364CF9"/>
    <w:rsid w:val="5A67220C"/>
    <w:rsid w:val="5D2651CC"/>
    <w:rsid w:val="5D7505F3"/>
    <w:rsid w:val="5DB8630B"/>
    <w:rsid w:val="5F1E5097"/>
    <w:rsid w:val="62115B72"/>
    <w:rsid w:val="62D6719E"/>
    <w:rsid w:val="63E674EC"/>
    <w:rsid w:val="6B451364"/>
    <w:rsid w:val="72C0195D"/>
    <w:rsid w:val="7A770057"/>
    <w:rsid w:val="7C946478"/>
    <w:rsid w:val="7D462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cs="Courier New"/>
      <w:szCs w:val="21"/>
    </w:rPr>
  </w:style>
  <w:style w:type="paragraph" w:styleId="3">
    <w:name w:val="Plain Text"/>
    <w:basedOn w:val="1"/>
    <w:qFormat/>
    <w:uiPriority w:val="0"/>
    <w:rPr>
      <w:rFonts w:ascii="宋体" w:hAnsi="Courier New"/>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811</Words>
  <Characters>828</Characters>
  <Lines>0</Lines>
  <Paragraphs>0</Paragraphs>
  <TotalTime>3</TotalTime>
  <ScaleCrop>false</ScaleCrop>
  <LinksUpToDate>false</LinksUpToDate>
  <CharactersWithSpaces>843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2020-09-25T01:41:00Z</dcterms:created>
  <dc:creator>DELL</dc:creator>
  <cp:lastModifiedBy>君君</cp:lastModifiedBy>
  <dcterms:modified xsi:type="dcterms:W3CDTF">2026-07-03T07:32:36Z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C5EDF0282C9B40489536F7E443EC2521_13</vt:lpwstr>
  </property>
  <property fmtid="{D5CDD505-2E9C-101B-9397-08002B2CF9AE}" pid="4" name="KSOTemplateDocerSaveRecord">
    <vt:lpwstr>eyJoZGlkIjoiZWE1OWFjNGFmMDFjYjY3OTU5YTc5MGYxZmU2Y2M4ZTQiLCJ1c2VySWQiOiI4MTM1MTQ3MzIifQ==</vt:lpwstr>
  </property>
</Properties>
</file>