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9AEB2">
      <w:pPr>
        <w:rPr>
          <w:rFonts w:hint="eastAsia" w:ascii="楷体" w:hAnsi="楷体" w:eastAsia="楷体" w:cs="楷体"/>
          <w:sz w:val="30"/>
          <w:szCs w:val="30"/>
        </w:rPr>
      </w:pPr>
    </w:p>
    <w:p w14:paraId="26475ECF">
      <w:pPr>
        <w:spacing w:line="600" w:lineRule="exact"/>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景德镇市军队离休退休干部休养所</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2</w:t>
      </w:r>
      <w:r>
        <w:rPr>
          <w:rFonts w:hint="eastAsia" w:ascii="方正小标宋简体" w:hAnsi="方正小标宋简体" w:eastAsia="方正小标宋简体" w:cs="方正小标宋简体"/>
          <w:b w:val="0"/>
          <w:bCs w:val="0"/>
          <w:sz w:val="44"/>
          <w:szCs w:val="44"/>
        </w:rPr>
        <w:t>年度部门决算</w:t>
      </w:r>
    </w:p>
    <w:p w14:paraId="0859B196">
      <w:pPr>
        <w:spacing w:line="600" w:lineRule="exact"/>
        <w:jc w:val="center"/>
        <w:rPr>
          <w:rFonts w:hint="eastAsia" w:ascii="黑体" w:hAnsi="Calibri" w:eastAsia="黑体"/>
          <w:sz w:val="44"/>
          <w:szCs w:val="36"/>
        </w:rPr>
      </w:pPr>
    </w:p>
    <w:p w14:paraId="7CD108C5">
      <w:pPr>
        <w:spacing w:line="600" w:lineRule="exact"/>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目    录</w:t>
      </w:r>
    </w:p>
    <w:p w14:paraId="1B784690">
      <w:pPr>
        <w:widowControl/>
        <w:spacing w:line="600" w:lineRule="exact"/>
        <w:ind w:firstLine="640"/>
        <w:jc w:val="left"/>
        <w:rPr>
          <w:rFonts w:hint="eastAsia" w:ascii="仿宋_GB2312" w:hAnsi="Calibri" w:eastAsia="仿宋_GB2312"/>
          <w:sz w:val="32"/>
          <w:szCs w:val="30"/>
        </w:rPr>
      </w:pPr>
    </w:p>
    <w:p w14:paraId="028C12B7">
      <w:pPr>
        <w:widowControl/>
        <w:spacing w:line="600" w:lineRule="exact"/>
        <w:ind w:firstLine="640"/>
        <w:jc w:val="left"/>
        <w:rPr>
          <w:rFonts w:hint="eastAsia" w:ascii="黑体" w:hAnsi="黑体" w:eastAsia="黑体"/>
          <w:b/>
          <w:sz w:val="32"/>
          <w:szCs w:val="32"/>
        </w:rPr>
      </w:pPr>
      <w:r>
        <w:rPr>
          <w:rFonts w:hint="eastAsia" w:ascii="黑体" w:hAnsi="黑体" w:eastAsia="黑体"/>
          <w:sz w:val="32"/>
          <w:szCs w:val="32"/>
        </w:rPr>
        <w:t>第一部分</w:t>
      </w:r>
      <w:r>
        <w:rPr>
          <w:rFonts w:hint="eastAsia" w:ascii="黑体" w:hAnsi="黑体" w:eastAsia="黑体"/>
          <w:b/>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val="en-US" w:eastAsia="zh-CN"/>
        </w:rPr>
        <w:t>军队离休退休干部休养所</w:t>
      </w:r>
      <w:r>
        <w:rPr>
          <w:rFonts w:hint="eastAsia" w:ascii="黑体" w:hAnsi="黑体" w:eastAsia="黑体" w:cs="黑体"/>
          <w:sz w:val="32"/>
          <w:szCs w:val="32"/>
        </w:rPr>
        <w:t>概况</w:t>
      </w:r>
    </w:p>
    <w:p w14:paraId="11889973">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b/>
          <w:sz w:val="32"/>
          <w:szCs w:val="30"/>
        </w:rPr>
        <w:t xml:space="preserve"> </w:t>
      </w:r>
      <w:r>
        <w:rPr>
          <w:rFonts w:hint="eastAsia" w:ascii="仿宋_GB2312" w:eastAsia="仿宋_GB2312" w:cs="仿宋_GB2312"/>
          <w:kern w:val="0"/>
          <w:sz w:val="32"/>
          <w:szCs w:val="32"/>
          <w:lang w:val="zh-CN"/>
        </w:rPr>
        <w:t xml:space="preserve">   一、</w:t>
      </w:r>
      <w:r>
        <w:rPr>
          <w:rFonts w:hint="eastAsia" w:ascii="仿宋_GB2312" w:eastAsia="仿宋_GB2312" w:cs="仿宋_GB2312"/>
          <w:kern w:val="0"/>
          <w:sz w:val="32"/>
          <w:szCs w:val="32"/>
          <w:lang w:val="en-US" w:eastAsia="zh-CN"/>
        </w:rPr>
        <w:t>单位</w:t>
      </w:r>
      <w:r>
        <w:rPr>
          <w:rFonts w:hint="eastAsia" w:ascii="仿宋_GB2312" w:eastAsia="仿宋_GB2312" w:cs="仿宋_GB2312"/>
          <w:kern w:val="0"/>
          <w:sz w:val="32"/>
          <w:szCs w:val="32"/>
          <w:lang w:val="zh-CN"/>
        </w:rPr>
        <w:t>主要职责</w:t>
      </w:r>
    </w:p>
    <w:p w14:paraId="5DF23645">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二、</w:t>
      </w:r>
      <w:r>
        <w:rPr>
          <w:rFonts w:hint="eastAsia" w:ascii="仿宋_GB2312" w:eastAsia="仿宋_GB2312" w:cs="仿宋_GB2312"/>
          <w:kern w:val="0"/>
          <w:sz w:val="32"/>
          <w:szCs w:val="32"/>
          <w:lang w:val="en-US" w:eastAsia="zh-CN"/>
        </w:rPr>
        <w:t>单位</w:t>
      </w:r>
      <w:r>
        <w:rPr>
          <w:rFonts w:hint="eastAsia" w:ascii="仿宋_GB2312" w:eastAsia="仿宋_GB2312" w:cs="仿宋_GB2312"/>
          <w:kern w:val="0"/>
          <w:sz w:val="32"/>
          <w:szCs w:val="32"/>
          <w:lang w:val="zh-CN"/>
        </w:rPr>
        <w:t>基本情况</w:t>
      </w:r>
    </w:p>
    <w:p w14:paraId="6590E303">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olor w:val="auto"/>
          <w:sz w:val="32"/>
          <w:szCs w:val="32"/>
        </w:rPr>
        <w:t>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w:t>
      </w:r>
      <w:r>
        <w:rPr>
          <w:rFonts w:hint="eastAsia" w:ascii="黑体" w:hAnsi="黑体" w:eastAsia="黑体"/>
          <w:color w:val="auto"/>
          <w:sz w:val="32"/>
          <w:szCs w:val="32"/>
          <w:lang w:val="en-US" w:eastAsia="zh-CN"/>
        </w:rPr>
        <w:t>单位</w:t>
      </w:r>
      <w:r>
        <w:rPr>
          <w:rFonts w:hint="eastAsia" w:ascii="黑体" w:hAnsi="黑体" w:eastAsia="黑体"/>
          <w:color w:val="auto"/>
          <w:sz w:val="32"/>
          <w:szCs w:val="32"/>
        </w:rPr>
        <w:t>决算表</w:t>
      </w:r>
    </w:p>
    <w:p w14:paraId="4C0665B4">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一、收入支出决算总表</w:t>
      </w:r>
    </w:p>
    <w:p w14:paraId="24A442CD">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二、收入决算表</w:t>
      </w:r>
    </w:p>
    <w:p w14:paraId="2F82B57F">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三、支出决算表</w:t>
      </w:r>
    </w:p>
    <w:p w14:paraId="38A7F273">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四、财政拨款收入支出决算总表</w:t>
      </w:r>
    </w:p>
    <w:p w14:paraId="5EABB8AF">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五、一般公共预算财政拨款支出决算表</w:t>
      </w:r>
    </w:p>
    <w:p w14:paraId="406FFD97">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六、一般公共预算财政拨款基本支出决算表</w:t>
      </w:r>
    </w:p>
    <w:p w14:paraId="587F8AAB">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七、</w:t>
      </w:r>
      <w:r>
        <w:rPr>
          <w:rFonts w:hint="eastAsia" w:ascii="仿宋_GB2312" w:hAnsi="仿宋_GB2312" w:eastAsia="仿宋_GB2312" w:cs="宋体"/>
          <w:color w:val="auto"/>
          <w:kern w:val="0"/>
          <w:sz w:val="32"/>
          <w:szCs w:val="32"/>
        </w:rPr>
        <w:t>政府性基金预算财政拨款收入支出决算表</w:t>
      </w:r>
    </w:p>
    <w:p w14:paraId="5112A5C2">
      <w:pPr>
        <w:widowControl/>
        <w:numPr>
          <w:ilvl w:val="0"/>
          <w:numId w:val="1"/>
        </w:numPr>
        <w:spacing w:line="600" w:lineRule="exact"/>
        <w:jc w:val="left"/>
        <w:rPr>
          <w:rFonts w:hint="eastAsia" w:ascii="仿宋_GB2312" w:eastAsia="仿宋_GB2312" w:cs="仿宋_GB2312"/>
          <w:kern w:val="0"/>
          <w:sz w:val="32"/>
          <w:szCs w:val="32"/>
          <w:lang w:val="zh-CN"/>
        </w:rPr>
      </w:pPr>
      <w:r>
        <w:rPr>
          <w:rFonts w:hint="eastAsia" w:ascii="仿宋_GB2312" w:hAnsi="仿宋_GB2312" w:eastAsia="仿宋_GB2312" w:cs="宋体"/>
          <w:color w:val="auto"/>
          <w:kern w:val="0"/>
          <w:sz w:val="32"/>
          <w:szCs w:val="32"/>
          <w:lang w:val="en-US" w:eastAsia="zh-CN"/>
        </w:rPr>
        <w:t>国有资本经营预算财政拨款支出决算表</w:t>
      </w:r>
    </w:p>
    <w:p w14:paraId="33FEC63D">
      <w:pPr>
        <w:widowControl/>
        <w:numPr>
          <w:ilvl w:val="0"/>
          <w:numId w:val="1"/>
        </w:numPr>
        <w:spacing w:line="600" w:lineRule="exact"/>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财政拨款“三公”经费支出决算表</w:t>
      </w:r>
    </w:p>
    <w:p w14:paraId="59430B19">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十、国有资产占用情况表</w:t>
      </w:r>
    </w:p>
    <w:p w14:paraId="5427684A">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color w:val="auto"/>
          <w:sz w:val="32"/>
          <w:szCs w:val="32"/>
        </w:rPr>
        <w:t>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w:t>
      </w:r>
      <w:r>
        <w:rPr>
          <w:rFonts w:hint="eastAsia" w:ascii="黑体" w:hAnsi="黑体" w:eastAsia="黑体"/>
          <w:color w:val="auto"/>
          <w:sz w:val="32"/>
          <w:szCs w:val="32"/>
          <w:lang w:val="en-US" w:eastAsia="zh-CN"/>
        </w:rPr>
        <w:t>单位</w:t>
      </w:r>
      <w:r>
        <w:rPr>
          <w:rFonts w:hint="eastAsia" w:ascii="黑体" w:hAnsi="黑体" w:eastAsia="黑体"/>
          <w:color w:val="auto"/>
          <w:sz w:val="32"/>
          <w:szCs w:val="32"/>
        </w:rPr>
        <w:t>决算情况说明</w:t>
      </w:r>
    </w:p>
    <w:p w14:paraId="11D4F194">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一、收入决算情况说明</w:t>
      </w:r>
    </w:p>
    <w:p w14:paraId="70EF9F3C">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二、支出决算情况说明</w:t>
      </w:r>
    </w:p>
    <w:p w14:paraId="27E1365F">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三、财政拨款支出决算情况说明</w:t>
      </w:r>
    </w:p>
    <w:p w14:paraId="04E892FA">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四、一般公共预算财政拨款基本支出决算情况说明</w:t>
      </w:r>
    </w:p>
    <w:p w14:paraId="1B8085BE">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五、财政拨款“三公”经费支出决算情况说明</w:t>
      </w:r>
    </w:p>
    <w:p w14:paraId="4A545214">
      <w:pPr>
        <w:widowControl/>
        <w:spacing w:line="600" w:lineRule="exact"/>
        <w:ind w:firstLine="1280" w:firstLineChars="40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六、机关运行经费支出情况说明</w:t>
      </w:r>
    </w:p>
    <w:p w14:paraId="27EA4332">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七、政府采购支出情况说明</w:t>
      </w:r>
    </w:p>
    <w:p w14:paraId="3506435B">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八、国有资产占用情况说明</w:t>
      </w:r>
    </w:p>
    <w:p w14:paraId="38EEB68D">
      <w:pPr>
        <w:widowControl/>
        <w:spacing w:line="600" w:lineRule="exact"/>
        <w:ind w:firstLine="640"/>
        <w:jc w:val="left"/>
        <w:rPr>
          <w:rFonts w:hint="eastAsia" w:ascii="仿宋_GB2312" w:eastAsia="仿宋_GB2312" w:cs="仿宋_GB2312"/>
          <w:kern w:val="0"/>
          <w:sz w:val="32"/>
          <w:szCs w:val="32"/>
          <w:lang w:val="zh-CN"/>
        </w:rPr>
      </w:pPr>
      <w:r>
        <w:rPr>
          <w:rFonts w:hint="eastAsia" w:ascii="仿宋_GB2312" w:eastAsia="仿宋_GB2312" w:cs="仿宋_GB2312"/>
          <w:kern w:val="0"/>
          <w:sz w:val="32"/>
          <w:szCs w:val="32"/>
          <w:lang w:val="zh-CN"/>
        </w:rPr>
        <w:t xml:space="preserve">    九、预算绩效情况说明</w:t>
      </w:r>
    </w:p>
    <w:p w14:paraId="62B4BA5B">
      <w:pPr>
        <w:widowControl/>
        <w:spacing w:line="600" w:lineRule="exact"/>
        <w:ind w:firstLine="640"/>
        <w:jc w:val="left"/>
        <w:rPr>
          <w:rFonts w:hint="eastAsia" w:ascii="仿宋" w:hAnsi="仿宋" w:eastAsia="仿宋"/>
          <w:sz w:val="32"/>
          <w:szCs w:val="30"/>
        </w:rPr>
      </w:pPr>
      <w:r>
        <w:rPr>
          <w:rFonts w:hint="eastAsia" w:ascii="黑体" w:hAnsi="黑体" w:eastAsia="黑体"/>
          <w:sz w:val="32"/>
          <w:szCs w:val="32"/>
        </w:rPr>
        <w:t>第四部分  名词解释</w:t>
      </w:r>
    </w:p>
    <w:p w14:paraId="118782AF">
      <w:pPr>
        <w:ind w:firstLine="630"/>
        <w:jc w:val="center"/>
        <w:rPr>
          <w:rFonts w:hint="eastAsia" w:ascii="宋体" w:hAnsi="宋体"/>
          <w:b/>
          <w:sz w:val="36"/>
          <w:szCs w:val="36"/>
        </w:rPr>
      </w:pPr>
    </w:p>
    <w:p w14:paraId="4C862055">
      <w:pPr>
        <w:ind w:firstLine="630"/>
        <w:jc w:val="center"/>
        <w:rPr>
          <w:rFonts w:hint="eastAsia" w:ascii="宋体" w:hAnsi="宋体"/>
          <w:b/>
          <w:sz w:val="36"/>
          <w:szCs w:val="36"/>
        </w:rPr>
      </w:pPr>
    </w:p>
    <w:p w14:paraId="67F1FE3B">
      <w:pPr>
        <w:ind w:firstLine="630"/>
        <w:jc w:val="center"/>
        <w:rPr>
          <w:rFonts w:hint="eastAsia" w:ascii="宋体" w:hAnsi="宋体"/>
          <w:b/>
          <w:sz w:val="36"/>
          <w:szCs w:val="36"/>
        </w:rPr>
      </w:pPr>
    </w:p>
    <w:p w14:paraId="7B7C98F6">
      <w:pPr>
        <w:ind w:firstLine="630"/>
        <w:jc w:val="center"/>
        <w:rPr>
          <w:rFonts w:hint="eastAsia" w:ascii="宋体" w:hAnsi="宋体"/>
          <w:b/>
          <w:sz w:val="36"/>
          <w:szCs w:val="36"/>
        </w:rPr>
      </w:pPr>
    </w:p>
    <w:p w14:paraId="4E083BD2">
      <w:pPr>
        <w:ind w:firstLine="630"/>
        <w:jc w:val="center"/>
        <w:rPr>
          <w:rFonts w:hint="eastAsia" w:ascii="仿宋_GB2312" w:eastAsia="仿宋_GB2312" w:cs="仿宋_GB2312"/>
          <w:kern w:val="0"/>
          <w:sz w:val="32"/>
          <w:szCs w:val="32"/>
          <w:lang w:val="zh-CN"/>
        </w:rPr>
      </w:pPr>
    </w:p>
    <w:p w14:paraId="2A3CE741">
      <w:pPr>
        <w:ind w:firstLine="630"/>
        <w:jc w:val="center"/>
        <w:rPr>
          <w:rFonts w:hint="eastAsia" w:ascii="仿宋_GB2312" w:eastAsia="仿宋_GB2312" w:cs="仿宋_GB2312"/>
          <w:kern w:val="0"/>
          <w:sz w:val="32"/>
          <w:szCs w:val="32"/>
          <w:lang w:val="zh-CN"/>
        </w:rPr>
      </w:pPr>
    </w:p>
    <w:p w14:paraId="7EF9F5E9">
      <w:pPr>
        <w:ind w:firstLine="630"/>
        <w:jc w:val="center"/>
        <w:rPr>
          <w:rFonts w:hint="eastAsia" w:ascii="宋体" w:hAnsi="宋体"/>
          <w:b/>
          <w:sz w:val="36"/>
          <w:szCs w:val="36"/>
        </w:rPr>
      </w:pPr>
    </w:p>
    <w:p w14:paraId="662273A4">
      <w:pPr>
        <w:ind w:firstLine="630"/>
        <w:jc w:val="center"/>
        <w:rPr>
          <w:rFonts w:hint="eastAsia" w:ascii="宋体" w:hAnsi="宋体"/>
          <w:b/>
          <w:sz w:val="36"/>
          <w:szCs w:val="36"/>
        </w:rPr>
      </w:pPr>
    </w:p>
    <w:p w14:paraId="6D2D6360">
      <w:pPr>
        <w:ind w:firstLine="630"/>
        <w:jc w:val="center"/>
        <w:rPr>
          <w:rFonts w:hint="eastAsia" w:ascii="宋体" w:hAnsi="宋体"/>
          <w:b/>
          <w:sz w:val="36"/>
          <w:szCs w:val="36"/>
        </w:rPr>
      </w:pPr>
    </w:p>
    <w:p w14:paraId="50077BB8">
      <w:pPr>
        <w:ind w:firstLine="630"/>
        <w:jc w:val="center"/>
        <w:rPr>
          <w:rFonts w:hint="eastAsia" w:ascii="宋体" w:hAnsi="宋体"/>
          <w:b/>
          <w:sz w:val="36"/>
          <w:szCs w:val="36"/>
        </w:rPr>
      </w:pPr>
    </w:p>
    <w:p w14:paraId="0705BE53">
      <w:pPr>
        <w:ind w:firstLine="630"/>
        <w:jc w:val="center"/>
        <w:rPr>
          <w:rFonts w:hint="eastAsia" w:ascii="宋体" w:hAnsi="宋体"/>
          <w:b/>
          <w:sz w:val="36"/>
          <w:szCs w:val="36"/>
        </w:rPr>
      </w:pPr>
    </w:p>
    <w:p w14:paraId="2C85D483">
      <w:pPr>
        <w:ind w:firstLine="630"/>
        <w:jc w:val="center"/>
        <w:rPr>
          <w:rFonts w:hint="eastAsia" w:ascii="宋体" w:hAnsi="宋体"/>
          <w:b/>
          <w:sz w:val="36"/>
          <w:szCs w:val="36"/>
        </w:rPr>
      </w:pPr>
    </w:p>
    <w:p w14:paraId="6A804C84">
      <w:pPr>
        <w:ind w:firstLine="630"/>
        <w:jc w:val="center"/>
        <w:rPr>
          <w:rFonts w:hint="eastAsia" w:ascii="宋体" w:hAnsi="宋体"/>
          <w:b/>
          <w:sz w:val="36"/>
          <w:szCs w:val="36"/>
        </w:rPr>
      </w:pPr>
    </w:p>
    <w:p w14:paraId="702F7F30">
      <w:pPr>
        <w:ind w:firstLine="630"/>
        <w:jc w:val="center"/>
        <w:rPr>
          <w:rFonts w:hint="eastAsia" w:ascii="宋体" w:hAnsi="宋体"/>
          <w:b/>
          <w:sz w:val="36"/>
          <w:szCs w:val="36"/>
        </w:rPr>
      </w:pPr>
    </w:p>
    <w:p w14:paraId="0A35DF6E">
      <w:pPr>
        <w:widowControl/>
        <w:spacing w:line="58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第一部分  景德镇市军队离休退休干部休养所概况</w:t>
      </w:r>
    </w:p>
    <w:p w14:paraId="33F98C15">
      <w:pPr>
        <w:ind w:firstLine="630"/>
        <w:jc w:val="center"/>
        <w:rPr>
          <w:rFonts w:hint="eastAsia" w:ascii="Calibri" w:hAnsi="Calibri"/>
          <w:sz w:val="32"/>
          <w:szCs w:val="32"/>
        </w:rPr>
      </w:pPr>
    </w:p>
    <w:p w14:paraId="3CB29DA4">
      <w:pPr>
        <w:widowControl/>
        <w:spacing w:line="600" w:lineRule="exact"/>
        <w:ind w:firstLine="640" w:firstLineChars="200"/>
        <w:jc w:val="left"/>
        <w:rPr>
          <w:rFonts w:hint="eastAsia" w:ascii="黑体" w:hAnsi="黑体" w:eastAsia="黑体" w:cs="黑体"/>
          <w:b w:val="0"/>
          <w:bCs w:val="0"/>
          <w:kern w:val="0"/>
          <w:sz w:val="32"/>
          <w:szCs w:val="32"/>
          <w:lang w:val="zh-CN"/>
        </w:rPr>
      </w:pPr>
      <w:r>
        <w:rPr>
          <w:rFonts w:hint="eastAsia" w:ascii="黑体" w:hAnsi="黑体" w:eastAsia="黑体" w:cs="黑体"/>
          <w:b w:val="0"/>
          <w:bCs w:val="0"/>
          <w:kern w:val="0"/>
          <w:sz w:val="32"/>
          <w:szCs w:val="32"/>
          <w:lang w:val="en-US" w:eastAsia="zh-CN"/>
        </w:rPr>
        <w:t>一、单位</w:t>
      </w:r>
      <w:r>
        <w:rPr>
          <w:rFonts w:hint="eastAsia" w:ascii="黑体" w:hAnsi="黑体" w:eastAsia="黑体" w:cs="黑体"/>
          <w:b w:val="0"/>
          <w:bCs w:val="0"/>
          <w:kern w:val="0"/>
          <w:sz w:val="32"/>
          <w:szCs w:val="32"/>
          <w:lang w:val="zh-CN"/>
        </w:rPr>
        <w:t>主要职能</w:t>
      </w:r>
    </w:p>
    <w:p w14:paraId="7B6BFF89">
      <w:pPr>
        <w:widowControl/>
        <w:spacing w:line="600" w:lineRule="exact"/>
        <w:ind w:firstLine="640" w:firstLineChars="200"/>
        <w:jc w:val="left"/>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lang w:val="zh-CN"/>
        </w:rPr>
        <w:t>市军队离休退休干部休养所成立于1990年4月，主要任务是按照党和政府关于安置军队离休退休干部的政策和规定，落实移交地方政府安置的军休干部政治待遇和生活待遇。军休干部服务管理由政府领导、退役军人事务局主管、服务管理机构实施，坚持政治关心、生活照顾、服务为先、依法管理的原则。</w:t>
      </w:r>
    </w:p>
    <w:p w14:paraId="35670712">
      <w:pPr>
        <w:widowControl/>
        <w:spacing w:line="600" w:lineRule="exact"/>
        <w:ind w:firstLine="640" w:firstLineChars="200"/>
        <w:jc w:val="left"/>
        <w:rPr>
          <w:rFonts w:hint="eastAsia" w:ascii="黑体" w:hAnsi="黑体" w:eastAsia="黑体" w:cs="黑体"/>
          <w:b w:val="0"/>
          <w:bCs w:val="0"/>
          <w:kern w:val="0"/>
          <w:sz w:val="32"/>
          <w:szCs w:val="32"/>
          <w:lang w:val="zh-CN"/>
        </w:rPr>
      </w:pPr>
      <w:r>
        <w:rPr>
          <w:rFonts w:hint="eastAsia" w:ascii="黑体" w:hAnsi="黑体" w:eastAsia="黑体" w:cs="黑体"/>
          <w:b w:val="0"/>
          <w:bCs w:val="0"/>
          <w:kern w:val="0"/>
          <w:sz w:val="32"/>
          <w:szCs w:val="32"/>
          <w:lang w:val="zh-CN"/>
        </w:rPr>
        <w:t>二、</w:t>
      </w:r>
      <w:r>
        <w:rPr>
          <w:rFonts w:hint="eastAsia" w:ascii="黑体" w:hAnsi="黑体" w:eastAsia="黑体" w:cs="黑体"/>
          <w:b w:val="0"/>
          <w:bCs w:val="0"/>
          <w:kern w:val="0"/>
          <w:sz w:val="32"/>
          <w:szCs w:val="32"/>
          <w:lang w:val="en-US" w:eastAsia="zh-CN"/>
        </w:rPr>
        <w:t>单位</w:t>
      </w:r>
      <w:r>
        <w:rPr>
          <w:rFonts w:hint="eastAsia" w:ascii="黑体" w:hAnsi="黑体" w:eastAsia="黑体" w:cs="黑体"/>
          <w:b w:val="0"/>
          <w:bCs w:val="0"/>
          <w:kern w:val="0"/>
          <w:sz w:val="32"/>
          <w:szCs w:val="32"/>
          <w:lang w:val="zh-CN"/>
        </w:rPr>
        <w:t>基本情况</w:t>
      </w:r>
    </w:p>
    <w:p w14:paraId="6CC48A38">
      <w:pPr>
        <w:widowControl/>
        <w:spacing w:line="600" w:lineRule="exact"/>
        <w:ind w:firstLine="640" w:firstLineChars="200"/>
        <w:jc w:val="left"/>
        <w:rPr>
          <w:rFonts w:hint="eastAsia"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本单位设立1个内设机构，是景德镇市军队离休退休干部休养所。本单位2022年年末实有人数5人，其中在职人员5人，离休人员6人，退休人员0人(不含由养老保险基金发放养老金的离退休人员）。由养老保险基金发放养老金的离退休人员23人。</w:t>
      </w:r>
    </w:p>
    <w:p w14:paraId="1B0D1497">
      <w:pPr>
        <w:widowControl/>
        <w:spacing w:line="600" w:lineRule="exact"/>
        <w:ind w:firstLine="640"/>
        <w:jc w:val="center"/>
        <w:rPr>
          <w:rFonts w:hint="eastAsia" w:ascii="宋体" w:hAnsi="宋体"/>
          <w:b/>
          <w:sz w:val="32"/>
          <w:szCs w:val="32"/>
        </w:rPr>
      </w:pPr>
    </w:p>
    <w:p w14:paraId="0522BF34">
      <w:pPr>
        <w:widowControl/>
        <w:spacing w:line="600" w:lineRule="exact"/>
        <w:ind w:firstLine="640"/>
        <w:jc w:val="center"/>
        <w:rPr>
          <w:rFonts w:hint="eastAsia" w:ascii="宋体" w:hAnsi="宋体"/>
          <w:b/>
          <w:sz w:val="32"/>
          <w:szCs w:val="32"/>
        </w:rPr>
      </w:pPr>
    </w:p>
    <w:p w14:paraId="096CFDD8">
      <w:pPr>
        <w:widowControl/>
        <w:spacing w:line="600" w:lineRule="exact"/>
        <w:ind w:firstLine="640"/>
        <w:jc w:val="center"/>
        <w:rPr>
          <w:rFonts w:hint="eastAsia" w:ascii="宋体" w:hAnsi="宋体"/>
          <w:b/>
          <w:sz w:val="32"/>
          <w:szCs w:val="32"/>
        </w:rPr>
      </w:pPr>
    </w:p>
    <w:p w14:paraId="3A283077">
      <w:pPr>
        <w:widowControl/>
        <w:spacing w:line="600" w:lineRule="exact"/>
        <w:ind w:firstLine="640"/>
        <w:jc w:val="center"/>
        <w:rPr>
          <w:rFonts w:hint="eastAsia" w:ascii="宋体" w:hAnsi="宋体"/>
          <w:b/>
          <w:sz w:val="32"/>
          <w:szCs w:val="32"/>
        </w:rPr>
      </w:pPr>
    </w:p>
    <w:p w14:paraId="17107466">
      <w:pPr>
        <w:widowControl/>
        <w:spacing w:line="600" w:lineRule="exact"/>
        <w:ind w:firstLine="640"/>
        <w:jc w:val="center"/>
        <w:rPr>
          <w:rFonts w:hint="eastAsia" w:ascii="宋体" w:hAnsi="宋体"/>
          <w:b/>
          <w:sz w:val="32"/>
          <w:szCs w:val="32"/>
        </w:rPr>
      </w:pPr>
    </w:p>
    <w:p w14:paraId="19E105E2">
      <w:pPr>
        <w:pStyle w:val="4"/>
        <w:rPr>
          <w:rFonts w:hint="eastAsia"/>
        </w:rPr>
      </w:pPr>
    </w:p>
    <w:p w14:paraId="5B8FBC4F">
      <w:pPr>
        <w:widowControl/>
        <w:spacing w:line="600" w:lineRule="exact"/>
        <w:jc w:val="both"/>
        <w:rPr>
          <w:rFonts w:hint="eastAsia" w:ascii="宋体" w:hAnsi="宋体"/>
          <w:b/>
          <w:sz w:val="32"/>
          <w:szCs w:val="32"/>
        </w:rPr>
      </w:pPr>
    </w:p>
    <w:p w14:paraId="68B607F7">
      <w:pPr>
        <w:widowControl/>
        <w:spacing w:line="600" w:lineRule="exact"/>
        <w:ind w:firstLine="640"/>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第二部分  202</w:t>
      </w:r>
      <w:r>
        <w:rPr>
          <w:rFonts w:hint="eastAsia" w:ascii="方正小标宋简体" w:hAnsi="方正小标宋简体" w:eastAsia="方正小标宋简体" w:cs="方正小标宋简体"/>
          <w:b w:val="0"/>
          <w:bCs/>
          <w:sz w:val="44"/>
          <w:szCs w:val="44"/>
          <w:lang w:val="en-US" w:eastAsia="zh-CN"/>
        </w:rPr>
        <w:t>2</w:t>
      </w:r>
      <w:r>
        <w:rPr>
          <w:rFonts w:hint="eastAsia" w:ascii="方正小标宋简体" w:hAnsi="方正小标宋简体" w:eastAsia="方正小标宋简体" w:cs="方正小标宋简体"/>
          <w:b w:val="0"/>
          <w:bCs/>
          <w:sz w:val="44"/>
          <w:szCs w:val="44"/>
        </w:rPr>
        <w:t>年度部门决算表</w:t>
      </w:r>
    </w:p>
    <w:p w14:paraId="59D68087">
      <w:pPr>
        <w:widowControl/>
        <w:spacing w:line="600" w:lineRule="exact"/>
        <w:ind w:firstLine="640"/>
        <w:jc w:val="center"/>
        <w:rPr>
          <w:rFonts w:hint="eastAsia" w:ascii="宋体" w:hAnsi="宋体"/>
          <w:b/>
          <w:sz w:val="32"/>
          <w:szCs w:val="32"/>
        </w:rPr>
      </w:pPr>
    </w:p>
    <w:p w14:paraId="0659356D">
      <w:pPr>
        <w:autoSpaceDE w:val="0"/>
        <w:autoSpaceDN w:val="0"/>
        <w:adjustRightInd w:val="0"/>
        <w:spacing w:line="360" w:lineRule="auto"/>
        <w:jc w:val="left"/>
        <w:rPr>
          <w:rFonts w:hint="eastAsia" w:ascii="Calibri" w:hAnsi="Calibri" w:eastAsia="宋体"/>
          <w:szCs w:val="30"/>
          <w:lang w:eastAsia="zh-CN"/>
        </w:rPr>
      </w:pPr>
      <w:r>
        <w:rPr>
          <w:rFonts w:hint="eastAsia" w:ascii="Calibri" w:hAnsi="Calibri" w:eastAsia="宋体"/>
          <w:szCs w:val="30"/>
          <w:lang w:eastAsia="zh-CN"/>
        </w:rPr>
        <w:drawing>
          <wp:inline distT="0" distB="0" distL="114300" distR="114300">
            <wp:extent cx="5267960" cy="5105400"/>
            <wp:effectExtent l="0" t="0" r="5080" b="0"/>
            <wp:docPr id="1" name="图片 1" descr="1695891208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5891208781"/>
                    <pic:cNvPicPr>
                      <a:picLocks noChangeAspect="1"/>
                    </pic:cNvPicPr>
                  </pic:nvPicPr>
                  <pic:blipFill>
                    <a:blip r:embed="rId4"/>
                    <a:stretch>
                      <a:fillRect/>
                    </a:stretch>
                  </pic:blipFill>
                  <pic:spPr>
                    <a:xfrm>
                      <a:off x="0" y="0"/>
                      <a:ext cx="5267960" cy="5105400"/>
                    </a:xfrm>
                    <a:prstGeom prst="rect">
                      <a:avLst/>
                    </a:prstGeom>
                  </pic:spPr>
                </pic:pic>
              </a:graphicData>
            </a:graphic>
          </wp:inline>
        </w:drawing>
      </w:r>
    </w:p>
    <w:p w14:paraId="597D0BF5">
      <w:pPr>
        <w:autoSpaceDE w:val="0"/>
        <w:autoSpaceDN w:val="0"/>
        <w:adjustRightInd w:val="0"/>
        <w:spacing w:line="360" w:lineRule="auto"/>
        <w:jc w:val="left"/>
        <w:rPr>
          <w:rFonts w:hint="eastAsia" w:eastAsia="宋体"/>
          <w:lang w:eastAsia="zh-CN"/>
        </w:rPr>
      </w:pPr>
    </w:p>
    <w:p w14:paraId="683C957B">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3515" cy="2328545"/>
            <wp:effectExtent l="0" t="0" r="9525" b="3175"/>
            <wp:docPr id="2" name="图片 2" descr="1695891236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5891236107"/>
                    <pic:cNvPicPr>
                      <a:picLocks noChangeAspect="1"/>
                    </pic:cNvPicPr>
                  </pic:nvPicPr>
                  <pic:blipFill>
                    <a:blip r:embed="rId5"/>
                    <a:stretch>
                      <a:fillRect/>
                    </a:stretch>
                  </pic:blipFill>
                  <pic:spPr>
                    <a:xfrm>
                      <a:off x="0" y="0"/>
                      <a:ext cx="5263515" cy="2328545"/>
                    </a:xfrm>
                    <a:prstGeom prst="rect">
                      <a:avLst/>
                    </a:prstGeom>
                  </pic:spPr>
                </pic:pic>
              </a:graphicData>
            </a:graphic>
          </wp:inline>
        </w:drawing>
      </w:r>
    </w:p>
    <w:p w14:paraId="7F4C8234">
      <w:pPr>
        <w:autoSpaceDE w:val="0"/>
        <w:autoSpaceDN w:val="0"/>
        <w:adjustRightInd w:val="0"/>
        <w:spacing w:line="360" w:lineRule="auto"/>
        <w:jc w:val="left"/>
        <w:rPr>
          <w:rFonts w:hint="eastAsia" w:eastAsia="宋体"/>
          <w:lang w:eastAsia="zh-CN"/>
        </w:rPr>
      </w:pPr>
    </w:p>
    <w:p w14:paraId="0ECFC876">
      <w:pPr>
        <w:autoSpaceDE w:val="0"/>
        <w:autoSpaceDN w:val="0"/>
        <w:adjustRightInd w:val="0"/>
        <w:spacing w:line="360" w:lineRule="auto"/>
        <w:jc w:val="left"/>
        <w:rPr>
          <w:rFonts w:hint="eastAsia" w:eastAsia="宋体"/>
          <w:lang w:eastAsia="zh-CN"/>
        </w:rPr>
      </w:pPr>
    </w:p>
    <w:p w14:paraId="1AF6B4FB">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8595" cy="2904490"/>
            <wp:effectExtent l="0" t="0" r="4445" b="6350"/>
            <wp:docPr id="3" name="图片 3" descr="169589127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5891272114"/>
                    <pic:cNvPicPr>
                      <a:picLocks noChangeAspect="1"/>
                    </pic:cNvPicPr>
                  </pic:nvPicPr>
                  <pic:blipFill>
                    <a:blip r:embed="rId6"/>
                    <a:stretch>
                      <a:fillRect/>
                    </a:stretch>
                  </pic:blipFill>
                  <pic:spPr>
                    <a:xfrm>
                      <a:off x="0" y="0"/>
                      <a:ext cx="5268595" cy="2904490"/>
                    </a:xfrm>
                    <a:prstGeom prst="rect">
                      <a:avLst/>
                    </a:prstGeom>
                  </pic:spPr>
                </pic:pic>
              </a:graphicData>
            </a:graphic>
          </wp:inline>
        </w:drawing>
      </w:r>
    </w:p>
    <w:p w14:paraId="3BF3A144">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865" cy="3738245"/>
            <wp:effectExtent l="0" t="0" r="3175" b="10795"/>
            <wp:docPr id="4" name="图片 4" descr="1695891298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95891298394"/>
                    <pic:cNvPicPr>
                      <a:picLocks noChangeAspect="1"/>
                    </pic:cNvPicPr>
                  </pic:nvPicPr>
                  <pic:blipFill>
                    <a:blip r:embed="rId7"/>
                    <a:stretch>
                      <a:fillRect/>
                    </a:stretch>
                  </pic:blipFill>
                  <pic:spPr>
                    <a:xfrm>
                      <a:off x="0" y="0"/>
                      <a:ext cx="5269865" cy="3738245"/>
                    </a:xfrm>
                    <a:prstGeom prst="rect">
                      <a:avLst/>
                    </a:prstGeom>
                  </pic:spPr>
                </pic:pic>
              </a:graphicData>
            </a:graphic>
          </wp:inline>
        </w:drawing>
      </w:r>
    </w:p>
    <w:p w14:paraId="045E5CBE">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865" cy="4234815"/>
            <wp:effectExtent l="0" t="0" r="3175" b="1905"/>
            <wp:docPr id="5" name="图片 5" descr="1695891327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95891327868"/>
                    <pic:cNvPicPr>
                      <a:picLocks noChangeAspect="1"/>
                    </pic:cNvPicPr>
                  </pic:nvPicPr>
                  <pic:blipFill>
                    <a:blip r:embed="rId8"/>
                    <a:stretch>
                      <a:fillRect/>
                    </a:stretch>
                  </pic:blipFill>
                  <pic:spPr>
                    <a:xfrm>
                      <a:off x="0" y="0"/>
                      <a:ext cx="5269865" cy="4234815"/>
                    </a:xfrm>
                    <a:prstGeom prst="rect">
                      <a:avLst/>
                    </a:prstGeom>
                  </pic:spPr>
                </pic:pic>
              </a:graphicData>
            </a:graphic>
          </wp:inline>
        </w:drawing>
      </w:r>
    </w:p>
    <w:p w14:paraId="75108BBE">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2405" cy="8112760"/>
            <wp:effectExtent l="0" t="0" r="635" b="10160"/>
            <wp:docPr id="6" name="图片 6" descr="1695891365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95891365055"/>
                    <pic:cNvPicPr>
                      <a:picLocks noChangeAspect="1"/>
                    </pic:cNvPicPr>
                  </pic:nvPicPr>
                  <pic:blipFill>
                    <a:blip r:embed="rId9"/>
                    <a:stretch>
                      <a:fillRect/>
                    </a:stretch>
                  </pic:blipFill>
                  <pic:spPr>
                    <a:xfrm>
                      <a:off x="0" y="0"/>
                      <a:ext cx="5272405" cy="8112760"/>
                    </a:xfrm>
                    <a:prstGeom prst="rect">
                      <a:avLst/>
                    </a:prstGeom>
                  </pic:spPr>
                </pic:pic>
              </a:graphicData>
            </a:graphic>
          </wp:inline>
        </w:drawing>
      </w:r>
    </w:p>
    <w:p w14:paraId="2DB5B717">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8595" cy="1796415"/>
            <wp:effectExtent l="0" t="0" r="4445" b="1905"/>
            <wp:docPr id="7" name="图片 7" descr="1695891409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95891409617"/>
                    <pic:cNvPicPr>
                      <a:picLocks noChangeAspect="1"/>
                    </pic:cNvPicPr>
                  </pic:nvPicPr>
                  <pic:blipFill>
                    <a:blip r:embed="rId10"/>
                    <a:stretch>
                      <a:fillRect/>
                    </a:stretch>
                  </pic:blipFill>
                  <pic:spPr>
                    <a:xfrm>
                      <a:off x="0" y="0"/>
                      <a:ext cx="5268595" cy="1796415"/>
                    </a:xfrm>
                    <a:prstGeom prst="rect">
                      <a:avLst/>
                    </a:prstGeom>
                  </pic:spPr>
                </pic:pic>
              </a:graphicData>
            </a:graphic>
          </wp:inline>
        </w:drawing>
      </w:r>
    </w:p>
    <w:p w14:paraId="12416298">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770" cy="2693670"/>
            <wp:effectExtent l="0" t="0" r="1270" b="3810"/>
            <wp:docPr id="8" name="图片 8" descr="1695891456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95891456526"/>
                    <pic:cNvPicPr>
                      <a:picLocks noChangeAspect="1"/>
                    </pic:cNvPicPr>
                  </pic:nvPicPr>
                  <pic:blipFill>
                    <a:blip r:embed="rId11"/>
                    <a:stretch>
                      <a:fillRect/>
                    </a:stretch>
                  </pic:blipFill>
                  <pic:spPr>
                    <a:xfrm>
                      <a:off x="0" y="0"/>
                      <a:ext cx="5271770" cy="2693670"/>
                    </a:xfrm>
                    <a:prstGeom prst="rect">
                      <a:avLst/>
                    </a:prstGeom>
                  </pic:spPr>
                </pic:pic>
              </a:graphicData>
            </a:graphic>
          </wp:inline>
        </w:drawing>
      </w:r>
    </w:p>
    <w:p w14:paraId="12DD9A6E">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230" cy="4587875"/>
            <wp:effectExtent l="0" t="0" r="3810" b="14605"/>
            <wp:docPr id="9" name="图片 9" descr="1695891588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95891588021"/>
                    <pic:cNvPicPr>
                      <a:picLocks noChangeAspect="1"/>
                    </pic:cNvPicPr>
                  </pic:nvPicPr>
                  <pic:blipFill>
                    <a:blip r:embed="rId12"/>
                    <a:stretch>
                      <a:fillRect/>
                    </a:stretch>
                  </pic:blipFill>
                  <pic:spPr>
                    <a:xfrm>
                      <a:off x="0" y="0"/>
                      <a:ext cx="5269230" cy="4587875"/>
                    </a:xfrm>
                    <a:prstGeom prst="rect">
                      <a:avLst/>
                    </a:prstGeom>
                  </pic:spPr>
                </pic:pic>
              </a:graphicData>
            </a:graphic>
          </wp:inline>
        </w:drawing>
      </w:r>
    </w:p>
    <w:tbl>
      <w:tblPr>
        <w:tblStyle w:val="2"/>
        <w:tblW w:w="902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55"/>
        <w:gridCol w:w="1247"/>
        <w:gridCol w:w="2123"/>
      </w:tblGrid>
      <w:tr w14:paraId="41B08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9025" w:type="dxa"/>
            <w:gridSpan w:val="3"/>
            <w:tcBorders>
              <w:top w:val="nil"/>
              <w:left w:val="nil"/>
              <w:bottom w:val="nil"/>
              <w:right w:val="nil"/>
            </w:tcBorders>
            <w:shd w:val="clear" w:color="auto" w:fill="auto"/>
            <w:noWrap/>
            <w:vAlign w:val="bottom"/>
          </w:tcPr>
          <w:p w14:paraId="1A94E9CF">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国有资产占用情况表</w:t>
            </w:r>
          </w:p>
        </w:tc>
      </w:tr>
      <w:tr w14:paraId="4711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0" w:type="auto"/>
            <w:tcBorders>
              <w:top w:val="nil"/>
              <w:left w:val="nil"/>
              <w:bottom w:val="nil"/>
              <w:right w:val="nil"/>
            </w:tcBorders>
            <w:shd w:val="clear" w:color="auto" w:fill="auto"/>
            <w:noWrap/>
            <w:vAlign w:val="bottom"/>
          </w:tcPr>
          <w:p w14:paraId="640CD2DE">
            <w:pPr>
              <w:rPr>
                <w:rFonts w:hint="eastAsia"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14:paraId="66D5E8EC">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14:paraId="2714341F">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公开10表</w:t>
            </w:r>
          </w:p>
        </w:tc>
      </w:tr>
      <w:tr w14:paraId="7BA62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cBorders>
            <w:shd w:val="clear" w:color="auto" w:fill="auto"/>
            <w:noWrap/>
            <w:vAlign w:val="bottom"/>
          </w:tcPr>
          <w:p w14:paraId="09890F46">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编制单位：景德镇市军干所</w:t>
            </w:r>
          </w:p>
        </w:tc>
        <w:tc>
          <w:tcPr>
            <w:tcW w:w="0" w:type="auto"/>
            <w:tcBorders>
              <w:top w:val="nil"/>
              <w:left w:val="nil"/>
              <w:bottom w:val="nil"/>
              <w:right w:val="nil"/>
            </w:tcBorders>
            <w:shd w:val="clear" w:color="auto" w:fill="auto"/>
            <w:noWrap/>
            <w:vAlign w:val="bottom"/>
          </w:tcPr>
          <w:p w14:paraId="4D2A850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0" w:type="auto"/>
            <w:tcBorders>
              <w:top w:val="nil"/>
              <w:left w:val="nil"/>
              <w:bottom w:val="nil"/>
              <w:right w:val="nil"/>
            </w:tcBorders>
            <w:shd w:val="clear" w:color="auto" w:fill="auto"/>
            <w:noWrap/>
            <w:vAlign w:val="bottom"/>
          </w:tcPr>
          <w:p w14:paraId="736214C3">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单位：台、辆、套</w:t>
            </w:r>
          </w:p>
        </w:tc>
      </w:tr>
      <w:tr w14:paraId="29780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0" w:type="auto"/>
            <w:tcBorders>
              <w:top w:val="single" w:color="000000" w:sz="4" w:space="0"/>
              <w:left w:val="single" w:color="000000" w:sz="4" w:space="0"/>
              <w:bottom w:val="single" w:color="000000" w:sz="4" w:space="0"/>
              <w:right w:val="single" w:color="000000" w:sz="4" w:space="0"/>
            </w:tcBorders>
            <w:shd w:val="clear" w:color="FFFFFF" w:fill="C0C0C0"/>
            <w:noWrap/>
            <w:vAlign w:val="center"/>
          </w:tcPr>
          <w:p w14:paraId="6D7AD2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0" w:type="auto"/>
            <w:tcBorders>
              <w:top w:val="single" w:color="000000" w:sz="4" w:space="0"/>
              <w:left w:val="nil"/>
              <w:bottom w:val="single" w:color="000000" w:sz="4" w:space="0"/>
              <w:right w:val="single" w:color="000000" w:sz="4" w:space="0"/>
            </w:tcBorders>
            <w:shd w:val="clear" w:color="FFFFFF" w:fill="C0C0C0"/>
            <w:noWrap/>
            <w:vAlign w:val="center"/>
          </w:tcPr>
          <w:p w14:paraId="2CB9BE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FFFFFF" w:fill="C0C0C0"/>
            <w:noWrap/>
            <w:vAlign w:val="center"/>
          </w:tcPr>
          <w:p w14:paraId="062B49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46E37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06AED1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一、车辆数合计(台、辆)</w:t>
            </w:r>
          </w:p>
        </w:tc>
        <w:tc>
          <w:tcPr>
            <w:tcW w:w="0" w:type="auto"/>
            <w:tcBorders>
              <w:top w:val="nil"/>
              <w:left w:val="nil"/>
              <w:bottom w:val="single" w:color="000000" w:sz="4" w:space="0"/>
              <w:right w:val="single" w:color="000000" w:sz="4" w:space="0"/>
            </w:tcBorders>
            <w:shd w:val="clear" w:color="FFFFFF" w:fill="C0C0C0"/>
            <w:noWrap/>
            <w:vAlign w:val="center"/>
          </w:tcPr>
          <w:p w14:paraId="3A1BC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14:paraId="6737A43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67E1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197446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1.副部（省）级及以上领导用车</w:t>
            </w:r>
          </w:p>
        </w:tc>
        <w:tc>
          <w:tcPr>
            <w:tcW w:w="0" w:type="auto"/>
            <w:tcBorders>
              <w:top w:val="nil"/>
              <w:left w:val="nil"/>
              <w:bottom w:val="single" w:color="000000" w:sz="4" w:space="0"/>
              <w:right w:val="single" w:color="000000" w:sz="4" w:space="0"/>
            </w:tcBorders>
            <w:shd w:val="clear" w:color="FFFFFF" w:fill="C0C0C0"/>
            <w:noWrap/>
            <w:vAlign w:val="center"/>
          </w:tcPr>
          <w:p w14:paraId="342DCA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14:paraId="209ABB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26FFD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402598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2.主要领导干部用车</w:t>
            </w:r>
          </w:p>
        </w:tc>
        <w:tc>
          <w:tcPr>
            <w:tcW w:w="0" w:type="auto"/>
            <w:tcBorders>
              <w:top w:val="nil"/>
              <w:left w:val="nil"/>
              <w:bottom w:val="single" w:color="000000" w:sz="4" w:space="0"/>
              <w:right w:val="single" w:color="000000" w:sz="4" w:space="0"/>
            </w:tcBorders>
            <w:shd w:val="clear" w:color="FFFFFF" w:fill="C0C0C0"/>
            <w:noWrap/>
            <w:vAlign w:val="center"/>
          </w:tcPr>
          <w:p w14:paraId="7CBB5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14:paraId="4D14D6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3C01F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161AEA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3.机要通信用车</w:t>
            </w:r>
          </w:p>
        </w:tc>
        <w:tc>
          <w:tcPr>
            <w:tcW w:w="0" w:type="auto"/>
            <w:tcBorders>
              <w:top w:val="nil"/>
              <w:left w:val="nil"/>
              <w:bottom w:val="single" w:color="000000" w:sz="4" w:space="0"/>
              <w:right w:val="single" w:color="000000" w:sz="4" w:space="0"/>
            </w:tcBorders>
            <w:shd w:val="clear" w:color="FFFFFF" w:fill="C0C0C0"/>
            <w:noWrap/>
            <w:vAlign w:val="center"/>
          </w:tcPr>
          <w:p w14:paraId="7B0EB4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14:paraId="6F30578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191A8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07B49B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4.应急保障用车</w:t>
            </w:r>
          </w:p>
        </w:tc>
        <w:tc>
          <w:tcPr>
            <w:tcW w:w="0" w:type="auto"/>
            <w:tcBorders>
              <w:top w:val="nil"/>
              <w:left w:val="nil"/>
              <w:bottom w:val="single" w:color="000000" w:sz="4" w:space="0"/>
              <w:right w:val="single" w:color="000000" w:sz="4" w:space="0"/>
            </w:tcBorders>
            <w:shd w:val="clear" w:color="FFFFFF" w:fill="C0C0C0"/>
            <w:noWrap/>
            <w:vAlign w:val="center"/>
          </w:tcPr>
          <w:p w14:paraId="1ADF3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14:paraId="695F2C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28416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260A47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5.执法执勤用车</w:t>
            </w:r>
          </w:p>
        </w:tc>
        <w:tc>
          <w:tcPr>
            <w:tcW w:w="0" w:type="auto"/>
            <w:tcBorders>
              <w:top w:val="nil"/>
              <w:left w:val="nil"/>
              <w:bottom w:val="single" w:color="000000" w:sz="4" w:space="0"/>
              <w:right w:val="single" w:color="000000" w:sz="4" w:space="0"/>
            </w:tcBorders>
            <w:shd w:val="clear" w:color="FFFFFF" w:fill="C0C0C0"/>
            <w:noWrap/>
            <w:vAlign w:val="center"/>
          </w:tcPr>
          <w:p w14:paraId="255201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14:paraId="1C2A738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4B4EB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0EF6E3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6.特种专业技术用车</w:t>
            </w:r>
          </w:p>
        </w:tc>
        <w:tc>
          <w:tcPr>
            <w:tcW w:w="0" w:type="auto"/>
            <w:tcBorders>
              <w:top w:val="nil"/>
              <w:left w:val="nil"/>
              <w:bottom w:val="single" w:color="000000" w:sz="4" w:space="0"/>
              <w:right w:val="single" w:color="000000" w:sz="4" w:space="0"/>
            </w:tcBorders>
            <w:shd w:val="clear" w:color="FFFFFF" w:fill="C0C0C0"/>
            <w:noWrap/>
            <w:vAlign w:val="center"/>
          </w:tcPr>
          <w:p w14:paraId="62C0A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14:paraId="0806A40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570A1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7C6AB6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7.离退休干部用车</w:t>
            </w:r>
          </w:p>
        </w:tc>
        <w:tc>
          <w:tcPr>
            <w:tcW w:w="0" w:type="auto"/>
            <w:tcBorders>
              <w:top w:val="nil"/>
              <w:left w:val="nil"/>
              <w:bottom w:val="single" w:color="000000" w:sz="4" w:space="0"/>
              <w:right w:val="single" w:color="000000" w:sz="4" w:space="0"/>
            </w:tcBorders>
            <w:shd w:val="clear" w:color="FFFFFF" w:fill="C0C0C0"/>
            <w:noWrap/>
            <w:vAlign w:val="center"/>
          </w:tcPr>
          <w:p w14:paraId="045F1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14:paraId="16ACDF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17772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3DA41B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8.其他用车</w:t>
            </w:r>
          </w:p>
        </w:tc>
        <w:tc>
          <w:tcPr>
            <w:tcW w:w="0" w:type="auto"/>
            <w:tcBorders>
              <w:top w:val="nil"/>
              <w:left w:val="nil"/>
              <w:bottom w:val="single" w:color="000000" w:sz="4" w:space="0"/>
              <w:right w:val="single" w:color="000000" w:sz="4" w:space="0"/>
            </w:tcBorders>
            <w:shd w:val="clear" w:color="FFFFFF" w:fill="C0C0C0"/>
            <w:noWrap/>
            <w:vAlign w:val="center"/>
          </w:tcPr>
          <w:p w14:paraId="173B4A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14:paraId="18D35E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9DA0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14:paraId="4D60E6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二、单价100万元（含）以上设备（不含车辆）</w:t>
            </w:r>
          </w:p>
        </w:tc>
        <w:tc>
          <w:tcPr>
            <w:tcW w:w="0" w:type="auto"/>
            <w:tcBorders>
              <w:top w:val="nil"/>
              <w:left w:val="nil"/>
              <w:bottom w:val="single" w:color="000000" w:sz="4" w:space="0"/>
              <w:right w:val="single" w:color="000000" w:sz="4" w:space="0"/>
            </w:tcBorders>
            <w:shd w:val="clear" w:color="FFFFFF" w:fill="C0C0C0"/>
            <w:noWrap/>
            <w:vAlign w:val="center"/>
          </w:tcPr>
          <w:p w14:paraId="4700B2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14:paraId="1819946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6802A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14:paraId="6EE957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注：本表反映截</w:t>
            </w:r>
            <w:r>
              <w:rPr>
                <w:rFonts w:hint="eastAsia" w:ascii="宋体" w:hAnsi="宋体" w:cs="宋体"/>
                <w:i w:val="0"/>
                <w:iCs w:val="0"/>
                <w:color w:val="000000"/>
                <w:kern w:val="0"/>
                <w:sz w:val="22"/>
                <w:szCs w:val="22"/>
                <w:u w:val="none"/>
                <w:lang w:val="en-US" w:eastAsia="zh-CN" w:bidi="ar"/>
              </w:rPr>
              <w:t>至</w:t>
            </w:r>
            <w:bookmarkStart w:id="0" w:name="_GoBack"/>
            <w:bookmarkEnd w:id="0"/>
            <w:r>
              <w:rPr>
                <w:rFonts w:hint="eastAsia" w:ascii="宋体" w:hAnsi="宋体" w:eastAsia="宋体" w:cs="宋体"/>
                <w:i w:val="0"/>
                <w:iCs w:val="0"/>
                <w:color w:val="000000"/>
                <w:kern w:val="0"/>
                <w:sz w:val="22"/>
                <w:szCs w:val="22"/>
                <w:u w:val="none"/>
                <w:lang w:val="en-US" w:eastAsia="zh-CN" w:bidi="ar"/>
              </w:rPr>
              <w:t>2022年12月31日，部门(单位)占用的国有资产情况。</w:t>
            </w:r>
          </w:p>
        </w:tc>
      </w:tr>
      <w:tr w14:paraId="4A161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14:paraId="58E1F3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说明：当此表数据为空时，即本部门（单位）无相关资产。</w:t>
            </w:r>
          </w:p>
        </w:tc>
      </w:tr>
    </w:tbl>
    <w:p w14:paraId="399135F4">
      <w:pPr>
        <w:autoSpaceDE w:val="0"/>
        <w:autoSpaceDN w:val="0"/>
        <w:adjustRightInd w:val="0"/>
        <w:spacing w:line="360" w:lineRule="auto"/>
        <w:jc w:val="left"/>
        <w:rPr>
          <w:rFonts w:hint="eastAsia" w:eastAsia="宋体"/>
          <w:szCs w:val="30"/>
          <w:lang w:eastAsia="zh-CN"/>
        </w:rPr>
      </w:pPr>
    </w:p>
    <w:p w14:paraId="5AD2A8DC">
      <w:pPr>
        <w:autoSpaceDE w:val="0"/>
        <w:autoSpaceDN w:val="0"/>
        <w:adjustRightInd w:val="0"/>
        <w:spacing w:line="360" w:lineRule="auto"/>
        <w:jc w:val="left"/>
        <w:rPr>
          <w:rFonts w:hint="eastAsia" w:eastAsia="宋体"/>
          <w:szCs w:val="22"/>
          <w:lang w:eastAsia="zh-CN"/>
        </w:rPr>
      </w:pPr>
    </w:p>
    <w:p w14:paraId="5D524F8D">
      <w:pPr>
        <w:widowControl/>
        <w:spacing w:line="600" w:lineRule="exact"/>
        <w:jc w:val="both"/>
        <w:rPr>
          <w:rFonts w:hint="eastAsia" w:ascii="宋体" w:hAnsi="宋体"/>
          <w:b/>
          <w:sz w:val="32"/>
          <w:szCs w:val="32"/>
        </w:rPr>
      </w:pPr>
    </w:p>
    <w:p w14:paraId="77EDD4FA">
      <w:pPr>
        <w:widowControl/>
        <w:spacing w:line="600" w:lineRule="exact"/>
        <w:ind w:firstLine="640"/>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第三部分  202</w:t>
      </w:r>
      <w:r>
        <w:rPr>
          <w:rFonts w:hint="eastAsia" w:ascii="方正小标宋简体" w:hAnsi="方正小标宋简体" w:eastAsia="方正小标宋简体" w:cs="方正小标宋简体"/>
          <w:b w:val="0"/>
          <w:bCs/>
          <w:sz w:val="44"/>
          <w:szCs w:val="44"/>
          <w:lang w:val="en-US" w:eastAsia="zh-CN"/>
        </w:rPr>
        <w:t>2</w:t>
      </w:r>
      <w:r>
        <w:rPr>
          <w:rFonts w:hint="eastAsia" w:ascii="方正小标宋简体" w:hAnsi="方正小标宋简体" w:eastAsia="方正小标宋简体" w:cs="方正小标宋简体"/>
          <w:b w:val="0"/>
          <w:bCs/>
          <w:sz w:val="44"/>
          <w:szCs w:val="44"/>
        </w:rPr>
        <w:t>年度部门决算情况说明</w:t>
      </w:r>
    </w:p>
    <w:p w14:paraId="05FC097B">
      <w:pPr>
        <w:jc w:val="left"/>
        <w:rPr>
          <w:rFonts w:hint="eastAsia" w:ascii="仿宋" w:hAnsi="仿宋" w:eastAsia="仿宋"/>
          <w:sz w:val="30"/>
          <w:szCs w:val="30"/>
        </w:rPr>
      </w:pPr>
    </w:p>
    <w:p w14:paraId="781CDF18">
      <w:pPr>
        <w:ind w:firstLine="630"/>
        <w:jc w:val="left"/>
        <w:rPr>
          <w:rFonts w:hint="eastAsia" w:ascii="黑体" w:hAnsi="黑体" w:eastAsia="黑体" w:cs="黑体"/>
          <w:sz w:val="32"/>
          <w:szCs w:val="32"/>
        </w:rPr>
      </w:pPr>
      <w:r>
        <w:rPr>
          <w:rFonts w:hint="eastAsia" w:ascii="黑体" w:hAnsi="黑体" w:eastAsia="黑体" w:cs="黑体"/>
          <w:sz w:val="32"/>
          <w:szCs w:val="32"/>
        </w:rPr>
        <w:t>一、收入决算情况说明</w:t>
      </w:r>
    </w:p>
    <w:p w14:paraId="4228B5A9">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rPr>
        <w:t>本</w:t>
      </w:r>
      <w:r>
        <w:rPr>
          <w:rFonts w:hint="eastAsia" w:ascii="仿宋_GB2312" w:hAnsi="仿宋" w:eastAsia="仿宋_GB2312"/>
          <w:sz w:val="32"/>
          <w:szCs w:val="32"/>
          <w:lang w:val="en-US" w:eastAsia="zh-CN"/>
        </w:rPr>
        <w:t>单位</w:t>
      </w: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年度收入总计</w:t>
      </w:r>
      <w:r>
        <w:rPr>
          <w:rFonts w:hint="eastAsia" w:ascii="仿宋_GB2312" w:hAnsi="仿宋" w:eastAsia="仿宋_GB2312"/>
          <w:sz w:val="32"/>
          <w:szCs w:val="32"/>
          <w:lang w:val="en-US" w:eastAsia="zh-CN"/>
        </w:rPr>
        <w:t>763.62</w:t>
      </w:r>
      <w:r>
        <w:rPr>
          <w:rFonts w:hint="eastAsia" w:ascii="仿宋_GB2312" w:hAnsi="仿宋" w:eastAsia="仿宋_GB2312"/>
          <w:sz w:val="32"/>
          <w:szCs w:val="32"/>
        </w:rPr>
        <w:t>万元，其中年初结转和结余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w:t>
      </w:r>
      <w:r>
        <w:rPr>
          <w:rFonts w:hint="eastAsia" w:ascii="仿宋_GB2312" w:hAnsi="仿宋" w:eastAsia="仿宋_GB2312"/>
          <w:sz w:val="32"/>
          <w:szCs w:val="32"/>
          <w:lang w:val="en-US" w:eastAsia="zh-CN"/>
        </w:rPr>
        <w:t>减少0.79万元，下降0.1%；</w:t>
      </w:r>
      <w:r>
        <w:rPr>
          <w:rFonts w:hint="eastAsia" w:ascii="仿宋_GB2312" w:hAnsi="仿宋" w:eastAsia="仿宋_GB2312"/>
          <w:sz w:val="32"/>
          <w:szCs w:val="32"/>
        </w:rPr>
        <w:t>本年收入</w:t>
      </w:r>
      <w:r>
        <w:rPr>
          <w:rFonts w:hint="eastAsia" w:ascii="仿宋_GB2312" w:hAnsi="仿宋" w:eastAsia="仿宋_GB2312"/>
          <w:sz w:val="32"/>
          <w:szCs w:val="32"/>
          <w:lang w:eastAsia="zh-CN"/>
        </w:rPr>
        <w:t>合计</w:t>
      </w:r>
      <w:r>
        <w:rPr>
          <w:rFonts w:hint="eastAsia" w:ascii="仿宋_GB2312" w:hAnsi="仿宋" w:eastAsia="仿宋_GB2312"/>
          <w:sz w:val="32"/>
          <w:szCs w:val="32"/>
          <w:lang w:val="en-US" w:eastAsia="zh-CN"/>
        </w:rPr>
        <w:t>763.62</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w:t>
      </w:r>
      <w:r>
        <w:rPr>
          <w:rFonts w:hint="eastAsia" w:ascii="仿宋_GB2312" w:hAnsi="仿宋" w:eastAsia="仿宋_GB2312"/>
          <w:sz w:val="32"/>
          <w:szCs w:val="32"/>
          <w:lang w:val="en-US" w:eastAsia="zh-CN"/>
        </w:rPr>
        <w:t>增加426.93万元，下降126.8%，主要原因是：2021年收入冲减了往年结余。</w:t>
      </w:r>
    </w:p>
    <w:p w14:paraId="71ACC2C0">
      <w:pPr>
        <w:ind w:firstLine="630"/>
        <w:jc w:val="left"/>
        <w:rPr>
          <w:rFonts w:hint="eastAsia" w:ascii="仿宋_GB2312" w:hAnsi="仿宋" w:eastAsia="仿宋_GB2312"/>
          <w:sz w:val="32"/>
          <w:szCs w:val="32"/>
        </w:rPr>
      </w:pPr>
      <w:r>
        <w:rPr>
          <w:rFonts w:hint="eastAsia" w:ascii="仿宋_GB2312" w:hAnsi="仿宋" w:eastAsia="仿宋_GB2312"/>
          <w:sz w:val="32"/>
          <w:szCs w:val="32"/>
        </w:rPr>
        <w:t>本年收入的具体构成为：财政拨款收入</w:t>
      </w:r>
      <w:r>
        <w:rPr>
          <w:rFonts w:hint="eastAsia" w:ascii="仿宋_GB2312" w:hAnsi="仿宋" w:eastAsia="仿宋_GB2312"/>
          <w:sz w:val="32"/>
          <w:szCs w:val="32"/>
          <w:lang w:val="en-US" w:eastAsia="zh-CN"/>
        </w:rPr>
        <w:t>706.17</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92</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57.45</w:t>
      </w:r>
      <w:r>
        <w:rPr>
          <w:rFonts w:hint="eastAsia" w:ascii="仿宋_GB2312" w:hAnsi="仿宋" w:eastAsia="仿宋_GB2312"/>
          <w:sz w:val="32"/>
          <w:szCs w:val="32"/>
        </w:rPr>
        <w:t>万元，</w:t>
      </w:r>
      <w:r>
        <w:rPr>
          <w:rFonts w:hint="eastAsia" w:ascii="仿宋_GB2312" w:hAnsi="仿宋" w:eastAsia="仿宋_GB2312"/>
          <w:sz w:val="32"/>
          <w:szCs w:val="32"/>
          <w:lang w:eastAsia="zh-CN"/>
        </w:rPr>
        <w:t>占</w:t>
      </w:r>
      <w:r>
        <w:rPr>
          <w:rFonts w:hint="eastAsia" w:ascii="仿宋_GB2312" w:hAnsi="仿宋" w:eastAsia="仿宋_GB2312"/>
          <w:sz w:val="32"/>
          <w:szCs w:val="32"/>
          <w:lang w:val="en-US" w:eastAsia="zh-CN"/>
        </w:rPr>
        <w:t>8</w:t>
      </w:r>
      <w:r>
        <w:rPr>
          <w:rFonts w:hint="eastAsia" w:ascii="仿宋_GB2312" w:hAnsi="仿宋" w:eastAsia="仿宋_GB2312"/>
          <w:sz w:val="32"/>
          <w:szCs w:val="32"/>
        </w:rPr>
        <w:t xml:space="preserve">%。  </w:t>
      </w:r>
    </w:p>
    <w:p w14:paraId="7DF88333">
      <w:pPr>
        <w:ind w:firstLine="630"/>
        <w:jc w:val="left"/>
        <w:rPr>
          <w:rFonts w:hint="eastAsia" w:ascii="黑体" w:hAnsi="黑体" w:eastAsia="黑体"/>
          <w:sz w:val="32"/>
          <w:szCs w:val="32"/>
        </w:rPr>
      </w:pPr>
      <w:r>
        <w:rPr>
          <w:rFonts w:hint="eastAsia" w:ascii="黑体" w:hAnsi="黑体" w:eastAsia="黑体"/>
          <w:sz w:val="32"/>
          <w:szCs w:val="32"/>
        </w:rPr>
        <w:t>二、支出决算情况说明</w:t>
      </w:r>
    </w:p>
    <w:p w14:paraId="34FEB8C4">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rPr>
        <w:t>本</w:t>
      </w:r>
      <w:r>
        <w:rPr>
          <w:rFonts w:hint="eastAsia" w:ascii="仿宋_GB2312" w:hAnsi="仿宋" w:eastAsia="仿宋_GB2312"/>
          <w:sz w:val="32"/>
          <w:szCs w:val="32"/>
          <w:lang w:val="en-US" w:eastAsia="zh-CN"/>
        </w:rPr>
        <w:t>单位</w:t>
      </w: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年度支出总计</w:t>
      </w:r>
      <w:r>
        <w:rPr>
          <w:rFonts w:hint="eastAsia" w:ascii="仿宋_GB2312" w:hAnsi="仿宋" w:eastAsia="仿宋_GB2312"/>
          <w:sz w:val="32"/>
          <w:szCs w:val="32"/>
          <w:lang w:val="en-US" w:eastAsia="zh-CN"/>
        </w:rPr>
        <w:t>763.62</w:t>
      </w:r>
      <w:r>
        <w:rPr>
          <w:rFonts w:hint="eastAsia" w:ascii="仿宋_GB2312" w:hAnsi="仿宋" w:eastAsia="仿宋_GB2312"/>
          <w:sz w:val="32"/>
          <w:szCs w:val="32"/>
        </w:rPr>
        <w:t>万元，其中本年支出</w:t>
      </w:r>
      <w:r>
        <w:rPr>
          <w:rFonts w:hint="eastAsia" w:ascii="仿宋_GB2312" w:hAnsi="仿宋" w:eastAsia="仿宋_GB2312"/>
          <w:sz w:val="32"/>
          <w:szCs w:val="32"/>
          <w:lang w:eastAsia="zh-CN"/>
        </w:rPr>
        <w:t>合计</w:t>
      </w:r>
      <w:r>
        <w:rPr>
          <w:rFonts w:hint="eastAsia" w:ascii="仿宋_GB2312" w:hAnsi="仿宋" w:eastAsia="仿宋_GB2312"/>
          <w:sz w:val="32"/>
          <w:szCs w:val="32"/>
          <w:lang w:val="en-US" w:eastAsia="zh-CN"/>
        </w:rPr>
        <w:t>718.78</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w:t>
      </w:r>
      <w:r>
        <w:rPr>
          <w:rFonts w:hint="eastAsia" w:ascii="仿宋_GB2312" w:hAnsi="仿宋" w:eastAsia="仿宋_GB2312"/>
          <w:sz w:val="32"/>
          <w:szCs w:val="32"/>
          <w:lang w:val="en-US" w:eastAsia="zh-CN"/>
        </w:rPr>
        <w:t>减少45.62万元，下降5.97%，主要原因是：2022年减少离退休干部项目经费；</w:t>
      </w:r>
      <w:r>
        <w:rPr>
          <w:rFonts w:hint="eastAsia" w:ascii="仿宋_GB2312" w:hAnsi="仿宋" w:eastAsia="仿宋_GB2312"/>
          <w:sz w:val="32"/>
          <w:szCs w:val="32"/>
        </w:rPr>
        <w:t>年末结转和结余</w:t>
      </w:r>
      <w:r>
        <w:rPr>
          <w:rFonts w:hint="eastAsia" w:ascii="仿宋_GB2312" w:hAnsi="仿宋" w:eastAsia="仿宋_GB2312"/>
          <w:sz w:val="32"/>
          <w:szCs w:val="32"/>
          <w:lang w:val="en-US" w:eastAsia="zh-CN"/>
        </w:rPr>
        <w:t>44.84</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w:t>
      </w:r>
      <w:r>
        <w:rPr>
          <w:rFonts w:hint="eastAsia" w:ascii="仿宋_GB2312" w:hAnsi="仿宋" w:eastAsia="仿宋_GB2312"/>
          <w:sz w:val="32"/>
          <w:szCs w:val="32"/>
          <w:lang w:val="en-US" w:eastAsia="zh-CN"/>
        </w:rPr>
        <w:t>增加44.84万元，主要原因是：实有资金账户结余。</w:t>
      </w:r>
    </w:p>
    <w:p w14:paraId="594966A5">
      <w:pPr>
        <w:ind w:firstLine="630"/>
        <w:jc w:val="left"/>
        <w:rPr>
          <w:rFonts w:hint="eastAsia" w:ascii="仿宋_GB2312" w:hAnsi="仿宋" w:eastAsia="仿宋_GB2312"/>
          <w:sz w:val="32"/>
          <w:szCs w:val="32"/>
          <w:lang w:eastAsia="zh-CN"/>
        </w:rPr>
      </w:pPr>
      <w:r>
        <w:rPr>
          <w:rFonts w:hint="eastAsia" w:ascii="仿宋_GB2312" w:hAnsi="仿宋" w:eastAsia="仿宋_GB2312"/>
          <w:sz w:val="32"/>
          <w:szCs w:val="32"/>
        </w:rPr>
        <w:t>本年支出的具体构成为：基本支出</w:t>
      </w:r>
      <w:r>
        <w:rPr>
          <w:rFonts w:hint="eastAsia" w:ascii="仿宋_GB2312" w:hAnsi="仿宋" w:eastAsia="仿宋_GB2312"/>
          <w:sz w:val="32"/>
          <w:szCs w:val="32"/>
          <w:lang w:val="en-US" w:eastAsia="zh-CN"/>
        </w:rPr>
        <w:t>150.96</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21</w:t>
      </w:r>
      <w:r>
        <w:rPr>
          <w:rFonts w:hint="eastAsia" w:ascii="仿宋_GB2312" w:hAnsi="仿宋" w:eastAsia="仿宋_GB2312"/>
          <w:sz w:val="32"/>
          <w:szCs w:val="32"/>
        </w:rPr>
        <w:t>%；项目支出</w:t>
      </w:r>
      <w:r>
        <w:rPr>
          <w:rFonts w:hint="eastAsia" w:ascii="仿宋_GB2312" w:hAnsi="仿宋" w:eastAsia="仿宋_GB2312"/>
          <w:sz w:val="32"/>
          <w:szCs w:val="32"/>
          <w:lang w:val="en-US" w:eastAsia="zh-CN"/>
        </w:rPr>
        <w:t>567.82</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79</w:t>
      </w:r>
      <w:r>
        <w:rPr>
          <w:rFonts w:hint="eastAsia" w:ascii="仿宋_GB2312" w:hAnsi="仿宋" w:eastAsia="仿宋_GB2312"/>
          <w:sz w:val="32"/>
          <w:szCs w:val="32"/>
        </w:rPr>
        <w:t>%</w:t>
      </w:r>
      <w:r>
        <w:rPr>
          <w:rFonts w:hint="eastAsia" w:ascii="仿宋_GB2312" w:hAnsi="仿宋" w:eastAsia="仿宋_GB2312"/>
          <w:sz w:val="32"/>
          <w:szCs w:val="32"/>
          <w:lang w:eastAsia="zh-CN"/>
        </w:rPr>
        <w:t>。</w:t>
      </w:r>
    </w:p>
    <w:p w14:paraId="3FFA5DAD">
      <w:pPr>
        <w:ind w:firstLine="630"/>
        <w:jc w:val="left"/>
        <w:rPr>
          <w:rFonts w:hint="eastAsia" w:ascii="黑体" w:hAnsi="黑体" w:eastAsia="黑体" w:cs="黑体"/>
          <w:sz w:val="32"/>
          <w:szCs w:val="32"/>
        </w:rPr>
      </w:pPr>
      <w:r>
        <w:rPr>
          <w:rFonts w:hint="eastAsia" w:ascii="黑体" w:hAnsi="黑体" w:eastAsia="黑体" w:cs="黑体"/>
          <w:sz w:val="32"/>
          <w:szCs w:val="32"/>
        </w:rPr>
        <w:t>三、财政拨款支出决算情况说明</w:t>
      </w:r>
    </w:p>
    <w:p w14:paraId="66B0497D">
      <w:pPr>
        <w:ind w:firstLine="630"/>
        <w:jc w:val="both"/>
        <w:rPr>
          <w:rFonts w:hint="eastAsia" w:ascii="仿宋_GB2312" w:hAnsi="仿宋" w:eastAsia="仿宋_GB2312"/>
          <w:sz w:val="32"/>
          <w:szCs w:val="32"/>
          <w:highlight w:val="none"/>
        </w:rPr>
      </w:pPr>
      <w:r>
        <w:rPr>
          <w:rFonts w:hint="eastAsia" w:ascii="仿宋_GB2312" w:hAnsi="仿宋" w:eastAsia="仿宋_GB2312"/>
          <w:sz w:val="32"/>
          <w:szCs w:val="32"/>
          <w:highlight w:val="none"/>
        </w:rPr>
        <w:t>本</w:t>
      </w:r>
      <w:r>
        <w:rPr>
          <w:rFonts w:hint="eastAsia" w:ascii="仿宋_GB2312" w:hAnsi="仿宋" w:eastAsia="仿宋_GB2312"/>
          <w:sz w:val="32"/>
          <w:szCs w:val="32"/>
          <w:highlight w:val="none"/>
          <w:lang w:val="en-US" w:eastAsia="zh-CN"/>
        </w:rPr>
        <w:t>单位</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年度财政拨款本年支出年初预算数为</w:t>
      </w:r>
      <w:r>
        <w:rPr>
          <w:rFonts w:hint="eastAsia" w:ascii="仿宋_GB2312" w:hAnsi="仿宋" w:eastAsia="仿宋_GB2312"/>
          <w:sz w:val="32"/>
          <w:szCs w:val="32"/>
          <w:highlight w:val="none"/>
          <w:lang w:val="en-US" w:eastAsia="zh-CN"/>
        </w:rPr>
        <w:t>81.36</w:t>
      </w:r>
      <w:r>
        <w:rPr>
          <w:rFonts w:hint="eastAsia" w:ascii="仿宋_GB2312" w:hAnsi="仿宋" w:eastAsia="仿宋_GB2312"/>
          <w:sz w:val="32"/>
          <w:szCs w:val="32"/>
          <w:highlight w:val="none"/>
        </w:rPr>
        <w:t>万元，决算数</w:t>
      </w:r>
      <w:r>
        <w:rPr>
          <w:rFonts w:hint="eastAsia" w:ascii="仿宋_GB2312" w:hAnsi="仿宋" w:eastAsia="仿宋_GB2312"/>
          <w:sz w:val="32"/>
          <w:szCs w:val="32"/>
          <w:highlight w:val="none"/>
          <w:lang w:eastAsia="zh-CN"/>
        </w:rPr>
        <w:t>为</w:t>
      </w:r>
      <w:r>
        <w:rPr>
          <w:rFonts w:hint="eastAsia" w:ascii="仿宋_GB2312" w:hAnsi="仿宋" w:eastAsia="仿宋_GB2312"/>
          <w:sz w:val="32"/>
          <w:szCs w:val="32"/>
          <w:highlight w:val="none"/>
          <w:lang w:val="en-US" w:eastAsia="zh-CN"/>
        </w:rPr>
        <w:t>706.17</w:t>
      </w:r>
      <w:r>
        <w:rPr>
          <w:rFonts w:hint="eastAsia" w:ascii="仿宋_GB2312" w:hAnsi="仿宋" w:eastAsia="仿宋_GB2312"/>
          <w:sz w:val="32"/>
          <w:szCs w:val="32"/>
          <w:highlight w:val="none"/>
        </w:rPr>
        <w:t>万元，完成年初预算的</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%。其中：</w:t>
      </w:r>
    </w:p>
    <w:p w14:paraId="646A2FEE">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rPr>
        <w:t>（</w:t>
      </w:r>
      <w:r>
        <w:rPr>
          <w:rFonts w:hint="eastAsia" w:ascii="仿宋_GB2312" w:hAnsi="仿宋" w:eastAsia="仿宋_GB2312"/>
          <w:sz w:val="32"/>
          <w:szCs w:val="32"/>
          <w:lang w:eastAsia="zh-CN"/>
        </w:rPr>
        <w:t>一</w:t>
      </w:r>
      <w:r>
        <w:rPr>
          <w:rFonts w:hint="eastAsia" w:ascii="仿宋_GB2312" w:hAnsi="仿宋" w:eastAsia="仿宋_GB2312"/>
          <w:sz w:val="32"/>
          <w:szCs w:val="32"/>
        </w:rPr>
        <w:t>）社会保障和就业支出年初预算数为</w:t>
      </w:r>
      <w:r>
        <w:rPr>
          <w:rFonts w:hint="eastAsia" w:ascii="仿宋_GB2312" w:hAnsi="仿宋" w:eastAsia="仿宋_GB2312"/>
          <w:sz w:val="32"/>
          <w:szCs w:val="32"/>
          <w:lang w:val="en-US" w:eastAsia="zh-CN"/>
        </w:rPr>
        <w:t>69.54万元</w:t>
      </w:r>
      <w:r>
        <w:rPr>
          <w:rFonts w:hint="eastAsia" w:ascii="仿宋_GB2312" w:hAnsi="仿宋" w:eastAsia="仿宋_GB2312"/>
          <w:sz w:val="32"/>
          <w:szCs w:val="32"/>
        </w:rPr>
        <w:t>，决算数为</w:t>
      </w:r>
      <w:r>
        <w:rPr>
          <w:rFonts w:hint="eastAsia" w:ascii="仿宋_GB2312" w:hAnsi="仿宋" w:eastAsia="仿宋_GB2312"/>
          <w:sz w:val="32"/>
          <w:szCs w:val="32"/>
          <w:lang w:val="en-US" w:eastAsia="zh-CN"/>
        </w:rPr>
        <w:t>694.35</w:t>
      </w:r>
      <w:r>
        <w:rPr>
          <w:rFonts w:hint="eastAsia" w:ascii="仿宋_GB2312" w:hAnsi="仿宋" w:eastAsia="仿宋_GB2312"/>
          <w:sz w:val="32"/>
          <w:szCs w:val="32"/>
        </w:rPr>
        <w:t>万元，完成年初预算的100%。</w:t>
      </w:r>
      <w:r>
        <w:rPr>
          <w:rFonts w:hint="eastAsia" w:ascii="仿宋_GB2312" w:hAnsi="仿宋" w:eastAsia="仿宋_GB2312"/>
          <w:sz w:val="32"/>
          <w:szCs w:val="32"/>
          <w:lang w:val="en-US" w:eastAsia="zh-CN"/>
        </w:rPr>
        <w:t>主要原因是：实报实销，根据实际开支列支。</w:t>
      </w:r>
    </w:p>
    <w:p w14:paraId="7ACE0F75">
      <w:pPr>
        <w:ind w:firstLine="630"/>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（二）卫生健康支出年初预算数为</w:t>
      </w:r>
      <w:r>
        <w:rPr>
          <w:rFonts w:hint="eastAsia" w:ascii="仿宋_GB2312" w:hAnsi="仿宋" w:eastAsia="仿宋_GB2312"/>
          <w:sz w:val="32"/>
          <w:szCs w:val="32"/>
          <w:lang w:val="en-US" w:eastAsia="zh-CN"/>
        </w:rPr>
        <w:t>4.45万元，决算数为4.45万元，完成年初预算数的100%。主要原因是：实报实销，根据医保支出列支。</w:t>
      </w:r>
    </w:p>
    <w:p w14:paraId="346F9E5B">
      <w:pPr>
        <w:ind w:firstLine="630"/>
        <w:jc w:val="left"/>
        <w:rPr>
          <w:rFonts w:hint="default" w:ascii="仿宋_GB2312" w:hAnsi="仿宋" w:eastAsia="仿宋_GB2312"/>
          <w:sz w:val="32"/>
          <w:szCs w:val="32"/>
          <w:lang w:val="en-US"/>
        </w:rPr>
      </w:pPr>
      <w:r>
        <w:rPr>
          <w:rFonts w:hint="eastAsia" w:ascii="仿宋_GB2312" w:hAnsi="仿宋" w:eastAsia="仿宋_GB2312"/>
          <w:sz w:val="32"/>
          <w:szCs w:val="32"/>
        </w:rPr>
        <w:t>（</w:t>
      </w:r>
      <w:r>
        <w:rPr>
          <w:rFonts w:hint="eastAsia" w:ascii="仿宋_GB2312" w:hAnsi="仿宋" w:eastAsia="仿宋_GB2312"/>
          <w:sz w:val="32"/>
          <w:szCs w:val="32"/>
          <w:lang w:eastAsia="zh-CN"/>
        </w:rPr>
        <w:t>三</w:t>
      </w:r>
      <w:r>
        <w:rPr>
          <w:rFonts w:hint="eastAsia" w:ascii="仿宋_GB2312" w:hAnsi="仿宋" w:eastAsia="仿宋_GB2312"/>
          <w:sz w:val="32"/>
          <w:szCs w:val="32"/>
        </w:rPr>
        <w:t>）住房保障支出年初预算数为</w:t>
      </w:r>
      <w:r>
        <w:rPr>
          <w:rFonts w:hint="eastAsia" w:ascii="仿宋_GB2312" w:hAnsi="仿宋" w:eastAsia="仿宋_GB2312"/>
          <w:sz w:val="32"/>
          <w:szCs w:val="32"/>
          <w:lang w:val="en-US" w:eastAsia="zh-CN"/>
        </w:rPr>
        <w:t>7.37万元</w:t>
      </w:r>
      <w:r>
        <w:rPr>
          <w:rFonts w:hint="eastAsia" w:ascii="仿宋_GB2312" w:hAnsi="仿宋" w:eastAsia="仿宋_GB2312"/>
          <w:sz w:val="32"/>
          <w:szCs w:val="32"/>
        </w:rPr>
        <w:t>，决算数为</w:t>
      </w:r>
      <w:r>
        <w:rPr>
          <w:rFonts w:hint="eastAsia" w:ascii="仿宋_GB2312" w:hAnsi="仿宋" w:eastAsia="仿宋_GB2312"/>
          <w:sz w:val="32"/>
          <w:szCs w:val="32"/>
          <w:lang w:val="en-US" w:eastAsia="zh-CN"/>
        </w:rPr>
        <w:t>7.37</w:t>
      </w:r>
      <w:r>
        <w:rPr>
          <w:rFonts w:hint="eastAsia" w:ascii="仿宋_GB2312" w:hAnsi="仿宋" w:eastAsia="仿宋_GB2312"/>
          <w:sz w:val="32"/>
          <w:szCs w:val="32"/>
        </w:rPr>
        <w:t>万元，完成年初预算的100%。</w:t>
      </w:r>
      <w:r>
        <w:rPr>
          <w:rFonts w:hint="eastAsia" w:ascii="仿宋_GB2312" w:hAnsi="仿宋" w:eastAsia="仿宋_GB2312"/>
          <w:sz w:val="32"/>
          <w:szCs w:val="32"/>
          <w:lang w:val="en-US" w:eastAsia="zh-CN"/>
        </w:rPr>
        <w:t>主要原因是：实报实销，根据实际公积金支出列支。</w:t>
      </w:r>
    </w:p>
    <w:p w14:paraId="258E0F97">
      <w:pPr>
        <w:ind w:firstLine="630"/>
        <w:jc w:val="left"/>
        <w:rPr>
          <w:rFonts w:hint="eastAsia" w:ascii="黑体" w:hAnsi="黑体" w:eastAsia="黑体" w:cs="黑体"/>
          <w:sz w:val="32"/>
          <w:szCs w:val="32"/>
        </w:rPr>
      </w:pPr>
      <w:r>
        <w:rPr>
          <w:rFonts w:hint="eastAsia" w:ascii="黑体" w:hAnsi="黑体" w:eastAsia="黑体" w:cs="黑体"/>
          <w:sz w:val="32"/>
          <w:szCs w:val="32"/>
        </w:rPr>
        <w:t>四、一般公共预算财政拨款基本支出决算情况说明</w:t>
      </w:r>
    </w:p>
    <w:p w14:paraId="65E5E7E5">
      <w:pPr>
        <w:ind w:firstLine="585"/>
        <w:jc w:val="both"/>
        <w:rPr>
          <w:rFonts w:hint="eastAsia"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val="en-US" w:eastAsia="zh-CN"/>
        </w:rPr>
        <w:t>单位</w:t>
      </w: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年度一般公共预算财政拨款基本支出</w:t>
      </w:r>
      <w:r>
        <w:rPr>
          <w:rFonts w:hint="eastAsia" w:ascii="仿宋_GB2312" w:hAnsi="仿宋" w:eastAsia="仿宋_GB2312"/>
          <w:sz w:val="32"/>
          <w:szCs w:val="32"/>
          <w:lang w:val="en-US" w:eastAsia="zh-CN"/>
        </w:rPr>
        <w:t>150.96</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较上年度减少</w:t>
      </w:r>
      <w:r>
        <w:rPr>
          <w:rFonts w:hint="eastAsia" w:ascii="仿宋_GB2312" w:hAnsi="仿宋" w:eastAsia="仿宋_GB2312"/>
          <w:sz w:val="32"/>
          <w:szCs w:val="32"/>
          <w:lang w:val="en-US" w:eastAsia="zh-CN"/>
        </w:rPr>
        <w:t>12.08%，</w:t>
      </w:r>
      <w:r>
        <w:rPr>
          <w:rFonts w:hint="eastAsia" w:ascii="仿宋_GB2312" w:hAnsi="仿宋" w:eastAsia="仿宋_GB2312"/>
          <w:sz w:val="32"/>
          <w:szCs w:val="32"/>
        </w:rPr>
        <w:t>其中：</w:t>
      </w:r>
    </w:p>
    <w:p w14:paraId="25BBDC4B">
      <w:pPr>
        <w:numPr>
          <w:ilvl w:val="0"/>
          <w:numId w:val="2"/>
        </w:numPr>
        <w:ind w:firstLine="585"/>
        <w:jc w:val="left"/>
        <w:rPr>
          <w:rFonts w:hint="eastAsia" w:ascii="仿宋_GB2312" w:hAnsi="仿宋" w:eastAsia="仿宋_GB2312"/>
          <w:sz w:val="32"/>
          <w:szCs w:val="32"/>
          <w:lang w:eastAsia="zh-CN"/>
        </w:rPr>
      </w:pPr>
      <w:r>
        <w:rPr>
          <w:rFonts w:hint="eastAsia" w:ascii="仿宋_GB2312" w:hAnsi="仿宋" w:eastAsia="仿宋_GB2312"/>
          <w:sz w:val="32"/>
          <w:szCs w:val="32"/>
        </w:rPr>
        <w:t>工资福利支出</w:t>
      </w:r>
      <w:r>
        <w:rPr>
          <w:rFonts w:hint="eastAsia" w:ascii="仿宋_GB2312" w:hAnsi="仿宋" w:eastAsia="仿宋_GB2312"/>
          <w:sz w:val="32"/>
          <w:szCs w:val="32"/>
          <w:lang w:val="en-US" w:eastAsia="zh-CN"/>
        </w:rPr>
        <w:t>119.67</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w:t>
      </w:r>
      <w:r>
        <w:rPr>
          <w:rFonts w:hint="eastAsia" w:ascii="仿宋_GB2312" w:hAnsi="仿宋" w:eastAsia="仿宋_GB2312"/>
          <w:sz w:val="32"/>
          <w:szCs w:val="32"/>
          <w:lang w:val="en-US" w:eastAsia="zh-CN"/>
        </w:rPr>
        <w:t>减少7.49万元，下降5.89%，主要原因是：临时工工资经费核减。</w:t>
      </w:r>
    </w:p>
    <w:p w14:paraId="3FE05BC6">
      <w:pPr>
        <w:numPr>
          <w:ilvl w:val="0"/>
          <w:numId w:val="0"/>
        </w:numPr>
        <w:ind w:firstLine="640" w:firstLineChars="200"/>
        <w:jc w:val="left"/>
        <w:rPr>
          <w:rFonts w:hint="default" w:ascii="仿宋_GB2312" w:hAnsi="仿宋" w:eastAsia="仿宋_GB2312"/>
          <w:sz w:val="32"/>
          <w:szCs w:val="32"/>
          <w:lang w:val="en-US" w:eastAsia="zh-CN"/>
        </w:rPr>
      </w:pPr>
      <w:r>
        <w:rPr>
          <w:rFonts w:hint="eastAsia" w:ascii="仿宋_GB2312" w:hAnsi="仿宋" w:eastAsia="仿宋_GB2312"/>
          <w:sz w:val="32"/>
          <w:szCs w:val="32"/>
        </w:rPr>
        <w:t>（二）商品和服务支出</w:t>
      </w:r>
      <w:r>
        <w:rPr>
          <w:rFonts w:hint="eastAsia" w:ascii="仿宋_GB2312" w:hAnsi="仿宋" w:eastAsia="仿宋_GB2312"/>
          <w:sz w:val="32"/>
          <w:szCs w:val="32"/>
          <w:lang w:val="en-US" w:eastAsia="zh-CN"/>
        </w:rPr>
        <w:t>31.28</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w:t>
      </w:r>
      <w:r>
        <w:rPr>
          <w:rFonts w:hint="eastAsia" w:ascii="仿宋_GB2312" w:hAnsi="仿宋" w:eastAsia="仿宋_GB2312"/>
          <w:sz w:val="32"/>
          <w:szCs w:val="32"/>
          <w:lang w:val="en-US" w:eastAsia="zh-CN"/>
        </w:rPr>
        <w:t>减少13.25万元，下降29.76%，主要原因是：厉行节约，压减一般性支出。</w:t>
      </w:r>
    </w:p>
    <w:p w14:paraId="14407A9A">
      <w:pPr>
        <w:ind w:firstLine="585"/>
        <w:jc w:val="left"/>
        <w:rPr>
          <w:rFonts w:hint="default" w:ascii="仿宋_GB2312" w:hAnsi="仿宋" w:eastAsia="仿宋_GB2312"/>
          <w:sz w:val="32"/>
          <w:szCs w:val="32"/>
          <w:lang w:val="en-US" w:eastAsia="zh-CN"/>
        </w:rPr>
      </w:pPr>
      <w:r>
        <w:rPr>
          <w:rFonts w:hint="eastAsia" w:ascii="仿宋_GB2312" w:hAnsi="仿宋" w:eastAsia="仿宋_GB2312"/>
          <w:sz w:val="32"/>
          <w:szCs w:val="32"/>
        </w:rPr>
        <w:t>（三）对个人和家庭补助支出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，较上年度</w:t>
      </w:r>
      <w:r>
        <w:rPr>
          <w:rFonts w:hint="eastAsia" w:ascii="仿宋_GB2312" w:hAnsi="仿宋" w:eastAsia="仿宋_GB2312"/>
          <w:sz w:val="32"/>
          <w:szCs w:val="32"/>
          <w:lang w:val="en-US" w:eastAsia="zh-CN"/>
        </w:rPr>
        <w:t>一致，主要原因是：离退休干部经费支出使用项目经费。</w:t>
      </w:r>
    </w:p>
    <w:p w14:paraId="7B67FB5D">
      <w:pPr>
        <w:ind w:firstLine="585"/>
        <w:jc w:val="left"/>
        <w:rPr>
          <w:rFonts w:hint="default" w:ascii="仿宋_GB2312" w:hAnsi="仿宋" w:eastAsia="仿宋_GB2312"/>
          <w:sz w:val="32"/>
          <w:szCs w:val="32"/>
          <w:lang w:val="en-US" w:eastAsia="zh-CN"/>
        </w:rPr>
      </w:pPr>
      <w:r>
        <w:rPr>
          <w:rFonts w:hint="eastAsia" w:ascii="仿宋_GB2312" w:hAnsi="仿宋" w:eastAsia="仿宋_GB2312"/>
          <w:sz w:val="32"/>
          <w:szCs w:val="32"/>
        </w:rPr>
        <w:t>（四）资本性支出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，较上年</w:t>
      </w:r>
      <w:r>
        <w:rPr>
          <w:rFonts w:hint="eastAsia" w:ascii="仿宋_GB2312" w:hAnsi="仿宋" w:eastAsia="仿宋_GB2312"/>
          <w:sz w:val="32"/>
          <w:szCs w:val="32"/>
          <w:lang w:val="en-US" w:eastAsia="zh-CN"/>
        </w:rPr>
        <w:t>一致，主要原因是：本年未购置固定设备。</w:t>
      </w:r>
    </w:p>
    <w:p w14:paraId="0F491D8E">
      <w:pPr>
        <w:ind w:firstLine="630"/>
        <w:jc w:val="left"/>
        <w:rPr>
          <w:rFonts w:hint="eastAsia" w:ascii="黑体" w:hAnsi="黑体" w:eastAsia="黑体"/>
          <w:color w:val="auto"/>
          <w:sz w:val="32"/>
          <w:szCs w:val="32"/>
        </w:rPr>
      </w:pPr>
      <w:r>
        <w:rPr>
          <w:rFonts w:hint="eastAsia" w:ascii="黑体" w:hAnsi="黑体" w:eastAsia="黑体"/>
          <w:sz w:val="32"/>
          <w:szCs w:val="32"/>
        </w:rPr>
        <w:t>五、</w:t>
      </w:r>
      <w:r>
        <w:rPr>
          <w:rFonts w:hint="eastAsia" w:ascii="黑体" w:hAnsi="黑体" w:eastAsia="黑体"/>
          <w:color w:val="auto"/>
          <w:sz w:val="32"/>
          <w:szCs w:val="32"/>
        </w:rPr>
        <w:t>财政拨款“三公”经费支出决算情况说明</w:t>
      </w:r>
    </w:p>
    <w:p w14:paraId="0F46AEDB">
      <w:pPr>
        <w:ind w:firstLine="630"/>
        <w:jc w:val="left"/>
        <w:rPr>
          <w:rFonts w:hint="eastAsia" w:ascii="仿宋_GB2312" w:hAnsi="仿宋" w:eastAsia="仿宋_GB2312"/>
          <w:sz w:val="32"/>
          <w:szCs w:val="32"/>
        </w:rPr>
      </w:pPr>
      <w:r>
        <w:rPr>
          <w:rFonts w:hint="eastAsia" w:ascii="仿宋_GB2312" w:hAnsi="仿宋" w:eastAsia="仿宋_GB2312"/>
          <w:sz w:val="32"/>
          <w:szCs w:val="32"/>
          <w:lang w:eastAsia="zh-CN"/>
        </w:rPr>
        <w:t>本单位2022年度财政拨款“三公”经费支出全年预算数为</w:t>
      </w:r>
      <w:r>
        <w:rPr>
          <w:rFonts w:hint="eastAsia" w:ascii="仿宋_GB2312" w:hAnsi="仿宋" w:eastAsia="仿宋_GB2312"/>
          <w:sz w:val="32"/>
          <w:szCs w:val="32"/>
          <w:lang w:val="en-US" w:eastAsia="zh-CN"/>
        </w:rPr>
        <w:t>3.09</w:t>
      </w:r>
      <w:r>
        <w:rPr>
          <w:rFonts w:hint="eastAsia" w:ascii="仿宋_GB2312" w:hAnsi="仿宋" w:eastAsia="仿宋_GB2312"/>
          <w:sz w:val="32"/>
          <w:szCs w:val="32"/>
          <w:lang w:eastAsia="zh-CN"/>
        </w:rPr>
        <w:t>万元，决算数为</w:t>
      </w:r>
      <w:r>
        <w:rPr>
          <w:rFonts w:hint="eastAsia" w:ascii="仿宋_GB2312" w:hAnsi="仿宋" w:eastAsia="仿宋_GB2312"/>
          <w:sz w:val="32"/>
          <w:szCs w:val="32"/>
          <w:lang w:val="en-US" w:eastAsia="zh-CN"/>
        </w:rPr>
        <w:t>0.31</w:t>
      </w:r>
      <w:r>
        <w:rPr>
          <w:rFonts w:hint="eastAsia" w:ascii="仿宋_GB2312" w:hAnsi="仿宋" w:eastAsia="仿宋_GB2312"/>
          <w:sz w:val="32"/>
          <w:szCs w:val="32"/>
          <w:lang w:eastAsia="zh-CN"/>
        </w:rPr>
        <w:t>万元，完成全年预算的</w:t>
      </w:r>
      <w:r>
        <w:rPr>
          <w:rFonts w:hint="eastAsia" w:ascii="仿宋_GB2312" w:hAnsi="仿宋" w:eastAsia="仿宋_GB2312"/>
          <w:sz w:val="32"/>
          <w:szCs w:val="32"/>
          <w:lang w:val="en-US" w:eastAsia="zh-CN"/>
        </w:rPr>
        <w:t>10.03</w:t>
      </w:r>
      <w:r>
        <w:rPr>
          <w:rFonts w:hint="eastAsia" w:ascii="仿宋_GB2312" w:hAnsi="仿宋" w:eastAsia="仿宋_GB2312"/>
          <w:sz w:val="32"/>
          <w:szCs w:val="32"/>
          <w:lang w:eastAsia="zh-CN"/>
        </w:rPr>
        <w:t>%，决算数较2021年减少</w:t>
      </w:r>
      <w:r>
        <w:rPr>
          <w:rFonts w:hint="eastAsia" w:ascii="仿宋_GB2312" w:hAnsi="仿宋" w:eastAsia="仿宋_GB2312"/>
          <w:sz w:val="32"/>
          <w:szCs w:val="32"/>
          <w:lang w:val="en-US" w:eastAsia="zh-CN"/>
        </w:rPr>
        <w:t>0.11</w:t>
      </w:r>
      <w:r>
        <w:rPr>
          <w:rFonts w:hint="eastAsia" w:ascii="仿宋_GB2312" w:hAnsi="仿宋" w:eastAsia="仿宋_GB2312"/>
          <w:sz w:val="32"/>
          <w:szCs w:val="32"/>
          <w:lang w:eastAsia="zh-CN"/>
        </w:rPr>
        <w:t>万元，下降</w:t>
      </w:r>
      <w:r>
        <w:rPr>
          <w:rFonts w:hint="eastAsia" w:ascii="仿宋_GB2312" w:hAnsi="仿宋" w:eastAsia="仿宋_GB2312"/>
          <w:sz w:val="32"/>
          <w:szCs w:val="32"/>
          <w:lang w:val="en-US" w:eastAsia="zh-CN"/>
        </w:rPr>
        <w:t>26.19</w:t>
      </w:r>
      <w:r>
        <w:rPr>
          <w:rFonts w:hint="eastAsia" w:ascii="仿宋_GB2312" w:hAnsi="仿宋" w:eastAsia="仿宋_GB2312"/>
          <w:sz w:val="32"/>
          <w:szCs w:val="32"/>
          <w:lang w:eastAsia="zh-CN"/>
        </w:rPr>
        <w:t>%，其中：</w:t>
      </w:r>
    </w:p>
    <w:p w14:paraId="6870A661">
      <w:pPr>
        <w:numPr>
          <w:ilvl w:val="0"/>
          <w:numId w:val="3"/>
        </w:numPr>
        <w:ind w:firstLine="630"/>
        <w:jc w:val="left"/>
        <w:rPr>
          <w:rFonts w:hint="eastAsia" w:ascii="仿宋_GB2312" w:hAnsi="仿宋" w:eastAsia="仿宋_GB2312"/>
          <w:sz w:val="32"/>
          <w:szCs w:val="32"/>
          <w:lang w:eastAsia="zh-CN"/>
        </w:rPr>
      </w:pPr>
      <w:r>
        <w:rPr>
          <w:rFonts w:hint="eastAsia" w:ascii="仿宋_GB2312" w:hAnsi="仿宋" w:eastAsia="仿宋_GB2312"/>
          <w:sz w:val="32"/>
          <w:szCs w:val="32"/>
        </w:rPr>
        <w:t>因公出国（境）支出</w:t>
      </w:r>
      <w:r>
        <w:rPr>
          <w:rFonts w:hint="eastAsia" w:ascii="仿宋_GB2312" w:hAnsi="仿宋" w:eastAsia="仿宋_GB2312"/>
          <w:sz w:val="32"/>
          <w:szCs w:val="32"/>
          <w:lang w:val="en-US" w:eastAsia="zh-CN"/>
        </w:rPr>
        <w:t>全年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万元，决算数为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，完成全年预算的</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%，决算数较2021年</w:t>
      </w:r>
      <w:r>
        <w:rPr>
          <w:rFonts w:hint="eastAsia" w:ascii="仿宋_GB2312" w:hAnsi="仿宋" w:eastAsia="仿宋_GB2312"/>
          <w:sz w:val="32"/>
          <w:szCs w:val="32"/>
          <w:lang w:val="en-US" w:eastAsia="zh-CN"/>
        </w:rPr>
        <w:t>持平</w:t>
      </w:r>
      <w:r>
        <w:rPr>
          <w:rFonts w:hint="eastAsia" w:ascii="仿宋_GB2312" w:hAnsi="仿宋" w:eastAsia="仿宋_GB2312"/>
          <w:sz w:val="32"/>
          <w:szCs w:val="32"/>
          <w:lang w:eastAsia="zh-CN"/>
        </w:rPr>
        <w:t>，主要原因是</w:t>
      </w:r>
      <w:r>
        <w:rPr>
          <w:rFonts w:hint="eastAsia" w:ascii="仿宋_GB2312" w:hAnsi="仿宋" w:eastAsia="仿宋_GB2312"/>
          <w:sz w:val="32"/>
          <w:szCs w:val="32"/>
          <w:lang w:val="en-US" w:eastAsia="zh-CN"/>
        </w:rPr>
        <w:t>本年度未安排出国业务。</w:t>
      </w:r>
    </w:p>
    <w:p w14:paraId="6120E9D3">
      <w:pPr>
        <w:numPr>
          <w:ilvl w:val="0"/>
          <w:numId w:val="0"/>
        </w:numPr>
        <w:ind w:firstLine="640" w:firstLineChars="200"/>
        <w:jc w:val="left"/>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rPr>
        <w:t>（二）</w:t>
      </w:r>
      <w:r>
        <w:rPr>
          <w:rFonts w:hint="eastAsia" w:ascii="仿宋_GB2312" w:hAnsi="仿宋" w:eastAsia="仿宋_GB2312"/>
          <w:sz w:val="32"/>
          <w:szCs w:val="32"/>
          <w:highlight w:val="none"/>
          <w:lang w:eastAsia="zh-CN"/>
        </w:rPr>
        <w:t>公务接待费支出全年预算数为</w:t>
      </w:r>
      <w:r>
        <w:rPr>
          <w:rFonts w:hint="eastAsia" w:ascii="仿宋_GB2312" w:hAnsi="仿宋" w:eastAsia="仿宋_GB2312"/>
          <w:sz w:val="32"/>
          <w:szCs w:val="32"/>
          <w:highlight w:val="none"/>
          <w:lang w:val="en-US" w:eastAsia="zh-CN"/>
        </w:rPr>
        <w:t>0.5</w:t>
      </w:r>
      <w:r>
        <w:rPr>
          <w:rFonts w:hint="eastAsia" w:ascii="仿宋_GB2312" w:hAnsi="仿宋" w:eastAsia="仿宋_GB2312"/>
          <w:sz w:val="32"/>
          <w:szCs w:val="32"/>
          <w:highlight w:val="none"/>
          <w:lang w:eastAsia="zh-CN"/>
        </w:rPr>
        <w:t>万元，决算数为</w:t>
      </w:r>
      <w:r>
        <w:rPr>
          <w:rFonts w:hint="eastAsia" w:ascii="仿宋_GB2312" w:hAnsi="仿宋" w:eastAsia="仿宋_GB2312"/>
          <w:sz w:val="32"/>
          <w:szCs w:val="32"/>
          <w:highlight w:val="none"/>
          <w:lang w:val="en-US" w:eastAsia="zh-CN"/>
        </w:rPr>
        <w:t>0.07</w:t>
      </w:r>
      <w:r>
        <w:rPr>
          <w:rFonts w:hint="eastAsia" w:ascii="仿宋_GB2312" w:hAnsi="仿宋" w:eastAsia="仿宋_GB2312"/>
          <w:sz w:val="32"/>
          <w:szCs w:val="32"/>
          <w:highlight w:val="none"/>
          <w:lang w:eastAsia="zh-CN"/>
        </w:rPr>
        <w:t>万元，完成全年预算</w:t>
      </w:r>
      <w:r>
        <w:rPr>
          <w:rFonts w:hint="eastAsia" w:ascii="仿宋_GB2312" w:hAnsi="仿宋" w:eastAsia="仿宋_GB2312"/>
          <w:sz w:val="32"/>
          <w:szCs w:val="32"/>
          <w:highlight w:val="none"/>
          <w:lang w:val="en-US" w:eastAsia="zh-CN"/>
        </w:rPr>
        <w:t>的14</w:t>
      </w:r>
      <w:r>
        <w:rPr>
          <w:rFonts w:hint="eastAsia" w:ascii="仿宋_GB2312" w:hAnsi="仿宋" w:eastAsia="仿宋_GB2312"/>
          <w:sz w:val="32"/>
          <w:szCs w:val="32"/>
          <w:highlight w:val="none"/>
          <w:lang w:eastAsia="zh-CN"/>
        </w:rPr>
        <w:t>%，决算数较2021年增加</w:t>
      </w:r>
      <w:r>
        <w:rPr>
          <w:rFonts w:hint="eastAsia" w:ascii="仿宋_GB2312" w:hAnsi="仿宋" w:eastAsia="仿宋_GB2312"/>
          <w:sz w:val="32"/>
          <w:szCs w:val="32"/>
          <w:highlight w:val="none"/>
          <w:lang w:val="en-US" w:eastAsia="zh-CN"/>
        </w:rPr>
        <w:t>0.07</w:t>
      </w:r>
      <w:r>
        <w:rPr>
          <w:rFonts w:hint="eastAsia" w:ascii="仿宋_GB2312" w:hAnsi="仿宋" w:eastAsia="仿宋_GB2312"/>
          <w:sz w:val="32"/>
          <w:szCs w:val="32"/>
          <w:highlight w:val="none"/>
          <w:lang w:eastAsia="zh-CN"/>
        </w:rPr>
        <w:t>万元，增长</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lang w:eastAsia="zh-CN"/>
        </w:rPr>
        <w:t>%，主要原因是</w:t>
      </w:r>
      <w:r>
        <w:rPr>
          <w:rFonts w:hint="eastAsia" w:ascii="仿宋_GB2312" w:hAnsi="仿宋" w:eastAsia="仿宋_GB2312"/>
          <w:sz w:val="32"/>
          <w:szCs w:val="32"/>
          <w:highlight w:val="none"/>
          <w:lang w:val="en-US" w:eastAsia="zh-CN"/>
        </w:rPr>
        <w:t>省退役局来检查</w:t>
      </w:r>
      <w:r>
        <w:rPr>
          <w:rFonts w:hint="eastAsia" w:ascii="仿宋_GB2312" w:hAnsi="仿宋" w:eastAsia="仿宋_GB2312"/>
          <w:sz w:val="32"/>
          <w:szCs w:val="32"/>
          <w:highlight w:val="none"/>
          <w:lang w:eastAsia="zh-CN"/>
        </w:rPr>
        <w:t>。全年国内公务接待</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lang w:eastAsia="zh-CN"/>
        </w:rPr>
        <w:t xml:space="preserve">批，累计接待  </w:t>
      </w:r>
      <w:r>
        <w:rPr>
          <w:rFonts w:hint="eastAsia" w:ascii="仿宋_GB2312" w:hAnsi="仿宋" w:eastAsia="仿宋_GB2312"/>
          <w:sz w:val="32"/>
          <w:szCs w:val="32"/>
          <w:highlight w:val="none"/>
          <w:lang w:val="en-US" w:eastAsia="zh-CN"/>
        </w:rPr>
        <w:t>4</w:t>
      </w:r>
      <w:r>
        <w:rPr>
          <w:rFonts w:hint="eastAsia" w:ascii="仿宋_GB2312" w:hAnsi="仿宋" w:eastAsia="仿宋_GB2312"/>
          <w:sz w:val="32"/>
          <w:szCs w:val="32"/>
          <w:highlight w:val="none"/>
          <w:lang w:eastAsia="zh-CN"/>
        </w:rPr>
        <w:t>人次，其中外事接待</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lang w:eastAsia="zh-CN"/>
        </w:rPr>
        <w:t>批，累计接待</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lang w:eastAsia="zh-CN"/>
        </w:rPr>
        <w:t>人次。</w:t>
      </w:r>
    </w:p>
    <w:p w14:paraId="7D50ADA4">
      <w:pPr>
        <w:ind w:firstLine="630"/>
        <w:jc w:val="left"/>
        <w:rPr>
          <w:rFonts w:hint="eastAsia" w:ascii="仿宋_GB2312" w:hAnsi="仿宋" w:eastAsia="仿宋_GB2312"/>
          <w:sz w:val="32"/>
          <w:szCs w:val="32"/>
        </w:rPr>
      </w:pPr>
      <w:r>
        <w:rPr>
          <w:rFonts w:hint="eastAsia" w:ascii="仿宋_GB2312" w:hAnsi="仿宋" w:eastAsia="仿宋_GB2312"/>
          <w:sz w:val="32"/>
          <w:szCs w:val="32"/>
        </w:rPr>
        <w:t>（三）公务用车购置及运行维护费支出</w:t>
      </w:r>
      <w:r>
        <w:rPr>
          <w:rFonts w:hint="eastAsia" w:ascii="仿宋_GB2312" w:hAnsi="仿宋" w:eastAsia="仿宋_GB2312"/>
          <w:sz w:val="32"/>
          <w:szCs w:val="32"/>
          <w:lang w:val="en-US" w:eastAsia="zh-CN"/>
        </w:rPr>
        <w:t>0.24</w:t>
      </w:r>
      <w:r>
        <w:rPr>
          <w:rFonts w:hint="eastAsia" w:ascii="仿宋_GB2312" w:hAnsi="仿宋" w:eastAsia="仿宋_GB2312"/>
          <w:sz w:val="32"/>
          <w:szCs w:val="32"/>
        </w:rPr>
        <w:t>万元，其中公务用车购置</w:t>
      </w:r>
      <w:r>
        <w:rPr>
          <w:rFonts w:hint="eastAsia" w:ascii="仿宋_GB2312" w:hAnsi="仿宋" w:eastAsia="仿宋_GB2312"/>
          <w:sz w:val="32"/>
          <w:szCs w:val="32"/>
          <w:lang w:val="en-US" w:eastAsia="zh-CN"/>
        </w:rPr>
        <w:t>全年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万元，决算数</w:t>
      </w:r>
      <w:r>
        <w:rPr>
          <w:rFonts w:hint="eastAsia" w:ascii="仿宋_GB2312" w:hAnsi="仿宋" w:eastAsia="仿宋_GB2312"/>
          <w:sz w:val="32"/>
          <w:szCs w:val="32"/>
          <w:lang w:eastAsia="zh-CN"/>
        </w:rPr>
        <w:t>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，完成全年预算的</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%，决算数较2021年增加（减少）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%，主要原因是</w:t>
      </w:r>
      <w:r>
        <w:rPr>
          <w:rFonts w:hint="eastAsia" w:ascii="仿宋_GB2312" w:hAnsi="仿宋" w:eastAsia="仿宋_GB2312"/>
          <w:sz w:val="32"/>
          <w:szCs w:val="32"/>
          <w:lang w:val="en-US" w:eastAsia="zh-CN"/>
        </w:rPr>
        <w:t>本年度无公务用车采购计划</w:t>
      </w:r>
      <w:r>
        <w:rPr>
          <w:rFonts w:hint="eastAsia" w:ascii="仿宋_GB2312" w:hAnsi="仿宋" w:eastAsia="仿宋_GB2312"/>
          <w:sz w:val="32"/>
          <w:szCs w:val="32"/>
          <w:lang w:eastAsia="zh-CN"/>
        </w:rPr>
        <w:t>，全年购置公务用车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辆；</w:t>
      </w:r>
      <w:r>
        <w:rPr>
          <w:rFonts w:hint="eastAsia" w:ascii="仿宋_GB2312" w:hAnsi="仿宋" w:eastAsia="仿宋_GB2312"/>
          <w:sz w:val="32"/>
          <w:szCs w:val="32"/>
        </w:rPr>
        <w:t>公务用车运行维护费支出</w:t>
      </w:r>
      <w:r>
        <w:rPr>
          <w:rFonts w:hint="eastAsia" w:ascii="仿宋_GB2312" w:hAnsi="仿宋" w:eastAsia="仿宋_GB2312"/>
          <w:sz w:val="32"/>
          <w:szCs w:val="32"/>
          <w:lang w:val="en-US" w:eastAsia="zh-CN"/>
        </w:rPr>
        <w:t>全年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2.59</w:t>
      </w:r>
      <w:r>
        <w:rPr>
          <w:rFonts w:hint="eastAsia" w:ascii="仿宋_GB2312" w:hAnsi="仿宋" w:eastAsia="仿宋_GB2312"/>
          <w:sz w:val="32"/>
          <w:szCs w:val="32"/>
        </w:rPr>
        <w:t>万元，决算数为</w:t>
      </w:r>
      <w:r>
        <w:rPr>
          <w:rFonts w:hint="eastAsia" w:ascii="仿宋_GB2312" w:hAnsi="仿宋" w:eastAsia="仿宋_GB2312"/>
          <w:sz w:val="32"/>
          <w:szCs w:val="32"/>
          <w:lang w:val="en-US" w:eastAsia="zh-CN"/>
        </w:rPr>
        <w:t>0.24</w:t>
      </w:r>
      <w:r>
        <w:rPr>
          <w:rFonts w:hint="eastAsia" w:ascii="仿宋_GB2312" w:hAnsi="仿宋" w:eastAsia="仿宋_GB2312"/>
          <w:sz w:val="32"/>
          <w:szCs w:val="32"/>
        </w:rPr>
        <w:t>万元，完成预算的</w:t>
      </w:r>
      <w:r>
        <w:rPr>
          <w:rFonts w:hint="eastAsia" w:ascii="仿宋_GB2312" w:hAnsi="仿宋" w:eastAsia="仿宋_GB2312"/>
          <w:sz w:val="32"/>
          <w:szCs w:val="32"/>
          <w:lang w:val="en-US" w:eastAsia="zh-CN"/>
        </w:rPr>
        <w:t>0.09</w:t>
      </w:r>
      <w:r>
        <w:rPr>
          <w:rFonts w:hint="eastAsia" w:ascii="仿宋_GB2312" w:hAnsi="仿宋" w:eastAsia="仿宋_GB2312"/>
          <w:sz w:val="32"/>
          <w:szCs w:val="32"/>
        </w:rPr>
        <w:t>%</w:t>
      </w:r>
      <w:r>
        <w:rPr>
          <w:rFonts w:hint="eastAsia" w:ascii="仿宋_GB2312" w:hAnsi="仿宋" w:eastAsia="仿宋_GB2312"/>
          <w:sz w:val="32"/>
          <w:szCs w:val="32"/>
          <w:lang w:eastAsia="zh-CN"/>
        </w:rPr>
        <w:t>，较上年度</w:t>
      </w:r>
      <w:r>
        <w:rPr>
          <w:rFonts w:hint="eastAsia" w:ascii="仿宋_GB2312" w:hAnsi="仿宋" w:eastAsia="仿宋_GB2312"/>
          <w:sz w:val="32"/>
          <w:szCs w:val="32"/>
          <w:lang w:val="en-US" w:eastAsia="zh-CN"/>
        </w:rPr>
        <w:t>减少0.18万元，</w:t>
      </w:r>
      <w:r>
        <w:rPr>
          <w:rFonts w:hint="eastAsia" w:ascii="仿宋_GB2312" w:hAnsi="仿宋" w:eastAsia="仿宋_GB2312"/>
          <w:sz w:val="32"/>
          <w:szCs w:val="32"/>
        </w:rPr>
        <w:t>下降</w:t>
      </w:r>
      <w:r>
        <w:rPr>
          <w:rFonts w:hint="eastAsia" w:ascii="仿宋_GB2312" w:hAnsi="仿宋" w:eastAsia="仿宋_GB2312"/>
          <w:sz w:val="32"/>
          <w:szCs w:val="32"/>
          <w:lang w:val="en-US" w:eastAsia="zh-CN"/>
        </w:rPr>
        <w:t>42.86</w:t>
      </w:r>
      <w:r>
        <w:rPr>
          <w:rFonts w:hint="eastAsia" w:ascii="仿宋_GB2312" w:hAnsi="仿宋" w:eastAsia="仿宋_GB2312"/>
          <w:sz w:val="32"/>
          <w:szCs w:val="32"/>
        </w:rPr>
        <w:t>%，</w:t>
      </w:r>
      <w:r>
        <w:rPr>
          <w:rFonts w:hint="eastAsia" w:ascii="仿宋_GB2312" w:hAnsi="仿宋" w:eastAsia="仿宋_GB2312"/>
          <w:sz w:val="32"/>
          <w:szCs w:val="32"/>
          <w:lang w:val="en-US" w:eastAsia="zh-CN"/>
        </w:rPr>
        <w:t>主要原因是：</w:t>
      </w:r>
      <w:r>
        <w:rPr>
          <w:rFonts w:hint="eastAsia" w:ascii="仿宋_GB2312" w:hAnsi="仿宋" w:eastAsia="仿宋_GB2312"/>
          <w:sz w:val="32"/>
          <w:szCs w:val="32"/>
          <w:lang w:eastAsia="zh-CN"/>
        </w:rPr>
        <w:t>按照厉行节约的原则，</w:t>
      </w:r>
      <w:r>
        <w:rPr>
          <w:rFonts w:hint="eastAsia" w:ascii="仿宋_GB2312" w:hAnsi="仿宋" w:eastAsia="仿宋_GB2312"/>
          <w:sz w:val="32"/>
          <w:szCs w:val="32"/>
          <w:lang w:val="en-US" w:eastAsia="zh-CN"/>
        </w:rPr>
        <w:t>保证公务车运行费用只减不增。</w:t>
      </w:r>
      <w:r>
        <w:rPr>
          <w:rFonts w:hint="eastAsia" w:ascii="仿宋_GB2312" w:hAnsi="仿宋" w:eastAsia="仿宋_GB2312"/>
          <w:sz w:val="32"/>
          <w:szCs w:val="32"/>
        </w:rPr>
        <w:t>年末公务用车保有</w:t>
      </w:r>
      <w:r>
        <w:rPr>
          <w:rFonts w:hint="eastAsia" w:ascii="仿宋_GB2312" w:hAnsi="仿宋" w:eastAsia="仿宋_GB2312"/>
          <w:sz w:val="32"/>
          <w:szCs w:val="32"/>
          <w:lang w:val="en-US" w:eastAsia="zh-CN"/>
        </w:rPr>
        <w:t>1</w:t>
      </w:r>
      <w:r>
        <w:rPr>
          <w:rFonts w:hint="eastAsia" w:ascii="仿宋_GB2312" w:hAnsi="仿宋" w:eastAsia="仿宋_GB2312"/>
          <w:sz w:val="32"/>
          <w:szCs w:val="32"/>
        </w:rPr>
        <w:t>辆。决算数较全年预算数减少的主要原因是：按照厉行节约的原则</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压缩一般性支出</w:t>
      </w:r>
      <w:r>
        <w:rPr>
          <w:rFonts w:hint="eastAsia" w:ascii="仿宋_GB2312" w:hAnsi="仿宋" w:eastAsia="仿宋_GB2312"/>
          <w:sz w:val="32"/>
          <w:szCs w:val="32"/>
        </w:rPr>
        <w:t>。</w:t>
      </w:r>
    </w:p>
    <w:p w14:paraId="1E47A4D1">
      <w:pPr>
        <w:ind w:firstLine="630"/>
        <w:jc w:val="left"/>
        <w:rPr>
          <w:rFonts w:hint="eastAsia" w:ascii="黑体" w:hAnsi="黑体" w:eastAsia="黑体"/>
          <w:sz w:val="32"/>
          <w:szCs w:val="32"/>
        </w:rPr>
      </w:pPr>
      <w:r>
        <w:rPr>
          <w:rFonts w:hint="eastAsia" w:ascii="黑体" w:hAnsi="黑体" w:eastAsia="黑体"/>
          <w:sz w:val="32"/>
          <w:szCs w:val="32"/>
        </w:rPr>
        <w:t>六、机关运行经费支出情况说明</w:t>
      </w:r>
    </w:p>
    <w:p w14:paraId="4467BF45">
      <w:pPr>
        <w:numPr>
          <w:ilvl w:val="0"/>
          <w:numId w:val="0"/>
        </w:numPr>
        <w:ind w:firstLine="640" w:firstLineChars="200"/>
        <w:jc w:val="left"/>
        <w:rPr>
          <w:rFonts w:hint="eastAsia" w:ascii="仿宋_GB2312" w:hAnsi="仿宋" w:eastAsia="仿宋_GB2312"/>
          <w:sz w:val="32"/>
          <w:szCs w:val="32"/>
          <w:lang w:eastAsia="zh-CN"/>
        </w:rPr>
      </w:pPr>
      <w:r>
        <w:rPr>
          <w:rFonts w:hint="eastAsia" w:ascii="仿宋_GB2312" w:hAnsi="仿宋" w:eastAsia="仿宋_GB2312"/>
          <w:sz w:val="32"/>
          <w:szCs w:val="32"/>
        </w:rPr>
        <w:t>本</w:t>
      </w:r>
      <w:r>
        <w:rPr>
          <w:rFonts w:hint="eastAsia" w:ascii="仿宋_GB2312" w:hAnsi="仿宋" w:eastAsia="仿宋_GB2312"/>
          <w:sz w:val="32"/>
          <w:szCs w:val="32"/>
          <w:lang w:val="en-US" w:eastAsia="zh-CN"/>
        </w:rPr>
        <w:t>单位</w:t>
      </w: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年度机关运行经费支出</w:t>
      </w:r>
      <w:r>
        <w:rPr>
          <w:rFonts w:hint="eastAsia" w:ascii="仿宋_GB2312" w:hAnsi="仿宋" w:eastAsia="仿宋_GB2312"/>
          <w:sz w:val="32"/>
          <w:szCs w:val="32"/>
          <w:lang w:val="en-US" w:eastAsia="zh-CN"/>
        </w:rPr>
        <w:t>31.28</w:t>
      </w:r>
      <w:r>
        <w:rPr>
          <w:rFonts w:hint="eastAsia" w:ascii="仿宋_GB2312" w:hAnsi="仿宋" w:eastAsia="仿宋_GB2312"/>
          <w:sz w:val="32"/>
          <w:szCs w:val="32"/>
        </w:rPr>
        <w:t>万元（与部门决算中行政单位和参照公务员法管理事业单位一般公共预算财政拨款基本支出中公用经费之和一致）</w:t>
      </w:r>
      <w:r>
        <w:rPr>
          <w:rFonts w:hint="eastAsia" w:ascii="仿宋_GB2312" w:hAnsi="仿宋" w:eastAsia="仿宋_GB2312"/>
          <w:sz w:val="32"/>
          <w:szCs w:val="32"/>
          <w:lang w:eastAsia="zh-CN"/>
        </w:rPr>
        <w:t>，较上年度</w:t>
      </w:r>
      <w:r>
        <w:rPr>
          <w:rFonts w:hint="eastAsia" w:ascii="仿宋_GB2312" w:hAnsi="仿宋" w:eastAsia="仿宋_GB2312"/>
          <w:sz w:val="32"/>
          <w:szCs w:val="32"/>
          <w:lang w:val="en-US" w:eastAsia="zh-CN"/>
        </w:rPr>
        <w:t>减少13.25万元，下降29.76%，主要原因是：落实过紧日子要求，压减一般性支出。</w:t>
      </w:r>
    </w:p>
    <w:p w14:paraId="62226A0A">
      <w:pPr>
        <w:ind w:firstLine="630"/>
        <w:jc w:val="left"/>
        <w:rPr>
          <w:rFonts w:hint="eastAsia" w:ascii="黑体" w:hAnsi="黑体" w:eastAsia="黑体"/>
          <w:sz w:val="32"/>
          <w:szCs w:val="32"/>
        </w:rPr>
      </w:pPr>
      <w:r>
        <w:rPr>
          <w:rFonts w:hint="eastAsia" w:ascii="黑体" w:hAnsi="黑体" w:eastAsia="黑体"/>
          <w:sz w:val="32"/>
          <w:szCs w:val="32"/>
        </w:rPr>
        <w:t>七、政府采购支出情况说明</w:t>
      </w:r>
    </w:p>
    <w:p w14:paraId="19C521DE">
      <w:pPr>
        <w:pStyle w:val="5"/>
        <w:spacing w:line="600" w:lineRule="atLeast"/>
        <w:ind w:firstLine="600"/>
        <w:jc w:val="both"/>
        <w:rPr>
          <w:rFonts w:hint="default" w:ascii="仿宋_GB2312" w:hAnsi="仿宋" w:eastAsia="仿宋_GB2312"/>
          <w:b w:val="0"/>
          <w:bCs w:val="0"/>
          <w:color w:val="auto"/>
          <w:sz w:val="32"/>
          <w:szCs w:val="32"/>
          <w:highlight w:val="none"/>
          <w:lang w:val="en-US" w:eastAsia="zh-CN"/>
        </w:rPr>
      </w:pPr>
      <w:r>
        <w:rPr>
          <w:rFonts w:hint="eastAsia" w:ascii="仿宋_GB2312" w:hAnsi="仿宋_GB2312" w:eastAsia="仿宋_GB2312"/>
          <w:b w:val="0"/>
          <w:bCs w:val="0"/>
          <w:color w:val="auto"/>
          <w:sz w:val="32"/>
          <w:szCs w:val="32"/>
          <w:highlight w:val="none"/>
        </w:rPr>
        <w:t>本</w:t>
      </w:r>
      <w:r>
        <w:rPr>
          <w:rFonts w:hint="eastAsia" w:ascii="仿宋_GB2312" w:hAnsi="仿宋_GB2312" w:eastAsia="仿宋_GB2312"/>
          <w:b w:val="0"/>
          <w:bCs w:val="0"/>
          <w:color w:val="auto"/>
          <w:sz w:val="32"/>
          <w:szCs w:val="32"/>
          <w:highlight w:val="none"/>
          <w:lang w:val="en-US" w:eastAsia="zh-CN"/>
        </w:rPr>
        <w:t>单位</w:t>
      </w:r>
      <w:r>
        <w:rPr>
          <w:rFonts w:hint="eastAsia" w:ascii="仿宋_GB2312" w:hAnsi="仿宋_GB2312" w:eastAsia="仿宋_GB2312"/>
          <w:b w:val="0"/>
          <w:bCs w:val="0"/>
          <w:color w:val="auto"/>
          <w:sz w:val="32"/>
          <w:szCs w:val="32"/>
          <w:highlight w:val="none"/>
        </w:rPr>
        <w:t>202</w:t>
      </w:r>
      <w:r>
        <w:rPr>
          <w:rFonts w:hint="eastAsia" w:ascii="仿宋_GB2312" w:hAnsi="仿宋_GB2312" w:eastAsia="仿宋_GB2312"/>
          <w:b w:val="0"/>
          <w:bCs w:val="0"/>
          <w:color w:val="auto"/>
          <w:sz w:val="32"/>
          <w:szCs w:val="32"/>
          <w:highlight w:val="none"/>
          <w:lang w:val="en-US" w:eastAsia="zh-CN"/>
        </w:rPr>
        <w:t>2</w:t>
      </w:r>
      <w:r>
        <w:rPr>
          <w:rFonts w:hint="eastAsia" w:ascii="仿宋_GB2312" w:hAnsi="仿宋_GB2312" w:eastAsia="仿宋_GB2312"/>
          <w:b w:val="0"/>
          <w:bCs w:val="0"/>
          <w:color w:val="auto"/>
          <w:sz w:val="32"/>
          <w:szCs w:val="32"/>
          <w:highlight w:val="none"/>
        </w:rPr>
        <w:t>年度政府采购支出总额</w:t>
      </w:r>
      <w:r>
        <w:rPr>
          <w:rFonts w:hint="eastAsia" w:ascii="仿宋_GB2312" w:hAnsi="仿宋_GB2312" w:eastAsia="仿宋_GB2312"/>
          <w:b w:val="0"/>
          <w:bCs w:val="0"/>
          <w:color w:val="auto"/>
          <w:sz w:val="32"/>
          <w:szCs w:val="32"/>
          <w:highlight w:val="none"/>
          <w:lang w:val="en-US" w:eastAsia="zh-CN"/>
        </w:rPr>
        <w:t>0.78</w:t>
      </w:r>
      <w:r>
        <w:rPr>
          <w:rFonts w:hint="eastAsia" w:ascii="仿宋_GB2312" w:hAnsi="仿宋_GB2312" w:eastAsia="仿宋_GB2312"/>
          <w:b w:val="0"/>
          <w:bCs w:val="0"/>
          <w:color w:val="auto"/>
          <w:sz w:val="32"/>
          <w:szCs w:val="32"/>
          <w:highlight w:val="none"/>
        </w:rPr>
        <w:t>万元，其中：政府采购货物支出</w:t>
      </w:r>
      <w:r>
        <w:rPr>
          <w:rFonts w:hint="eastAsia" w:ascii="仿宋_GB2312" w:hAnsi="仿宋_GB2312" w:eastAsia="仿宋_GB2312"/>
          <w:b w:val="0"/>
          <w:bCs w:val="0"/>
          <w:color w:val="auto"/>
          <w:sz w:val="32"/>
          <w:szCs w:val="32"/>
          <w:highlight w:val="none"/>
          <w:lang w:val="en-US" w:eastAsia="zh-CN"/>
        </w:rPr>
        <w:t>0.78</w:t>
      </w:r>
      <w:r>
        <w:rPr>
          <w:rFonts w:hint="eastAsia" w:ascii="仿宋_GB2312" w:hAnsi="仿宋_GB2312" w:eastAsia="仿宋_GB2312"/>
          <w:b w:val="0"/>
          <w:bCs w:val="0"/>
          <w:color w:val="auto"/>
          <w:sz w:val="32"/>
          <w:szCs w:val="32"/>
          <w:highlight w:val="none"/>
        </w:rPr>
        <w:t>万元、政府采购工程支出</w:t>
      </w:r>
      <w:r>
        <w:rPr>
          <w:rFonts w:hint="eastAsia" w:ascii="仿宋_GB2312" w:hAnsi="仿宋_GB2312" w:eastAsia="仿宋_GB2312"/>
          <w:b w:val="0"/>
          <w:bCs w:val="0"/>
          <w:color w:val="auto"/>
          <w:sz w:val="32"/>
          <w:szCs w:val="32"/>
          <w:highlight w:val="none"/>
          <w:lang w:val="en-US" w:eastAsia="zh-CN"/>
        </w:rPr>
        <w:t>0</w:t>
      </w:r>
      <w:r>
        <w:rPr>
          <w:rFonts w:hint="eastAsia" w:ascii="仿宋_GB2312" w:hAnsi="仿宋_GB2312" w:eastAsia="仿宋_GB2312"/>
          <w:b w:val="0"/>
          <w:bCs w:val="0"/>
          <w:color w:val="auto"/>
          <w:sz w:val="32"/>
          <w:szCs w:val="32"/>
          <w:highlight w:val="none"/>
        </w:rPr>
        <w:t>万元、政府采购服务支出</w:t>
      </w:r>
      <w:r>
        <w:rPr>
          <w:rFonts w:hint="eastAsia" w:ascii="仿宋_GB2312" w:hAnsi="仿宋_GB2312" w:eastAsia="仿宋_GB2312"/>
          <w:b w:val="0"/>
          <w:bCs w:val="0"/>
          <w:color w:val="auto"/>
          <w:sz w:val="32"/>
          <w:szCs w:val="32"/>
          <w:highlight w:val="none"/>
          <w:lang w:val="en-US" w:eastAsia="zh-CN"/>
        </w:rPr>
        <w:t>0</w:t>
      </w:r>
      <w:r>
        <w:rPr>
          <w:rFonts w:hint="eastAsia" w:ascii="仿宋_GB2312" w:hAnsi="仿宋_GB2312" w:eastAsia="仿宋_GB2312"/>
          <w:b w:val="0"/>
          <w:bCs w:val="0"/>
          <w:color w:val="auto"/>
          <w:sz w:val="32"/>
          <w:szCs w:val="32"/>
          <w:highlight w:val="none"/>
        </w:rPr>
        <w:t>万元。授予中小企业合同金额</w:t>
      </w:r>
      <w:r>
        <w:rPr>
          <w:rFonts w:hint="eastAsia" w:ascii="仿宋_GB2312" w:hAnsi="仿宋_GB2312" w:eastAsia="仿宋_GB2312"/>
          <w:b w:val="0"/>
          <w:bCs w:val="0"/>
          <w:color w:val="auto"/>
          <w:sz w:val="32"/>
          <w:szCs w:val="32"/>
          <w:highlight w:val="none"/>
          <w:lang w:val="en-US" w:eastAsia="zh-CN"/>
        </w:rPr>
        <w:t>0.78</w:t>
      </w:r>
      <w:r>
        <w:rPr>
          <w:rFonts w:hint="eastAsia" w:ascii="仿宋_GB2312" w:hAnsi="仿宋_GB2312" w:eastAsia="仿宋_GB2312"/>
          <w:b w:val="0"/>
          <w:bCs w:val="0"/>
          <w:color w:val="auto"/>
          <w:sz w:val="32"/>
          <w:szCs w:val="32"/>
          <w:highlight w:val="none"/>
        </w:rPr>
        <w:t>万元，占政府采购支出总额的</w:t>
      </w:r>
      <w:r>
        <w:rPr>
          <w:rFonts w:hint="eastAsia" w:ascii="仿宋_GB2312" w:hAnsi="仿宋_GB2312" w:eastAsia="仿宋_GB2312"/>
          <w:b w:val="0"/>
          <w:bCs w:val="0"/>
          <w:color w:val="auto"/>
          <w:sz w:val="32"/>
          <w:szCs w:val="32"/>
          <w:highlight w:val="none"/>
          <w:lang w:val="en-US" w:eastAsia="zh-CN"/>
        </w:rPr>
        <w:t>100</w:t>
      </w:r>
      <w:r>
        <w:rPr>
          <w:rFonts w:hint="eastAsia" w:ascii="仿宋_GB2312" w:hAnsi="仿宋_GB2312" w:eastAsia="仿宋_GB2312"/>
          <w:b w:val="0"/>
          <w:bCs w:val="0"/>
          <w:color w:val="auto"/>
          <w:sz w:val="32"/>
          <w:szCs w:val="32"/>
          <w:highlight w:val="none"/>
        </w:rPr>
        <w:t>%，其中：授予小微企业合同金额</w:t>
      </w:r>
      <w:r>
        <w:rPr>
          <w:rFonts w:hint="eastAsia" w:ascii="仿宋_GB2312" w:hAnsi="仿宋_GB2312" w:eastAsia="仿宋_GB2312"/>
          <w:b w:val="0"/>
          <w:bCs w:val="0"/>
          <w:color w:val="auto"/>
          <w:sz w:val="32"/>
          <w:szCs w:val="32"/>
          <w:highlight w:val="none"/>
          <w:lang w:val="en-US" w:eastAsia="zh-CN"/>
        </w:rPr>
        <w:t>0.78</w:t>
      </w:r>
      <w:r>
        <w:rPr>
          <w:rFonts w:hint="eastAsia" w:ascii="仿宋_GB2312" w:hAnsi="仿宋_GB2312" w:eastAsia="仿宋_GB2312"/>
          <w:b w:val="0"/>
          <w:bCs w:val="0"/>
          <w:color w:val="auto"/>
          <w:sz w:val="32"/>
          <w:szCs w:val="32"/>
          <w:highlight w:val="none"/>
        </w:rPr>
        <w:t>万元，占授予中小企业合同金额的</w:t>
      </w:r>
      <w:r>
        <w:rPr>
          <w:rFonts w:hint="eastAsia" w:ascii="仿宋_GB2312" w:hAnsi="仿宋_GB2312" w:eastAsia="仿宋_GB2312"/>
          <w:b w:val="0"/>
          <w:bCs w:val="0"/>
          <w:color w:val="auto"/>
          <w:sz w:val="32"/>
          <w:szCs w:val="32"/>
          <w:highlight w:val="none"/>
          <w:lang w:val="en-US" w:eastAsia="zh-CN"/>
        </w:rPr>
        <w:t>100</w:t>
      </w:r>
      <w:r>
        <w:rPr>
          <w:rFonts w:hint="eastAsia" w:ascii="仿宋_GB2312" w:hAnsi="仿宋_GB2312" w:eastAsia="仿宋_GB2312"/>
          <w:b w:val="0"/>
          <w:bCs w:val="0"/>
          <w:color w:val="auto"/>
          <w:sz w:val="32"/>
          <w:szCs w:val="32"/>
          <w:highlight w:val="none"/>
        </w:rPr>
        <w:t>%</w:t>
      </w:r>
      <w:r>
        <w:rPr>
          <w:rFonts w:hint="eastAsia" w:ascii="仿宋_GB2312" w:hAnsi="仿宋_GB2312" w:eastAsia="仿宋_GB2312"/>
          <w:b w:val="0"/>
          <w:bCs w:val="0"/>
          <w:color w:val="auto"/>
          <w:sz w:val="32"/>
          <w:szCs w:val="32"/>
          <w:highlight w:val="none"/>
          <w:lang w:val="en-US" w:eastAsia="zh-CN"/>
        </w:rPr>
        <w:t>；货物采购授予中小企业合同金额占货物支出金额的100%，工程采购授予中小企业合同金额占工程支出金额的0 %，服务采购授予中小企业合同金额占服务支出金额的0%。</w:t>
      </w:r>
    </w:p>
    <w:p w14:paraId="4041A604">
      <w:pPr>
        <w:ind w:firstLine="630"/>
        <w:jc w:val="left"/>
        <w:rPr>
          <w:rFonts w:hint="eastAsia" w:ascii="黑体" w:hAnsi="黑体" w:eastAsia="黑体"/>
          <w:sz w:val="32"/>
          <w:szCs w:val="32"/>
        </w:rPr>
      </w:pPr>
      <w:r>
        <w:rPr>
          <w:rFonts w:hint="eastAsia" w:ascii="黑体" w:hAnsi="黑体" w:eastAsia="黑体"/>
          <w:sz w:val="32"/>
          <w:szCs w:val="32"/>
        </w:rPr>
        <w:t>八、国有资产占用情况说明</w:t>
      </w:r>
    </w:p>
    <w:p w14:paraId="2E2BD378">
      <w:pPr>
        <w:ind w:firstLine="630"/>
        <w:jc w:val="left"/>
        <w:rPr>
          <w:rFonts w:hint="default" w:ascii="仿宋_GB2312" w:hAnsi="仿宋" w:eastAsia="仿宋_GB2312"/>
          <w:kern w:val="0"/>
          <w:sz w:val="32"/>
          <w:szCs w:val="32"/>
          <w:lang w:val="en-US" w:eastAsia="zh-CN"/>
        </w:rPr>
      </w:pPr>
      <w:r>
        <w:rPr>
          <w:rFonts w:hint="eastAsia" w:ascii="仿宋_GB2312" w:hAnsi="仿宋" w:eastAsia="仿宋_GB2312"/>
          <w:kern w:val="0"/>
          <w:sz w:val="32"/>
          <w:szCs w:val="32"/>
        </w:rPr>
        <w:t>截</w:t>
      </w:r>
      <w:r>
        <w:rPr>
          <w:rFonts w:hint="eastAsia" w:ascii="仿宋_GB2312" w:hAnsi="仿宋" w:eastAsia="仿宋_GB2312"/>
          <w:kern w:val="0"/>
          <w:sz w:val="32"/>
          <w:szCs w:val="32"/>
          <w:lang w:val="en-US" w:eastAsia="zh-CN"/>
        </w:rPr>
        <w:t>至</w:t>
      </w:r>
      <w:r>
        <w:rPr>
          <w:rFonts w:hint="eastAsia" w:ascii="仿宋_GB2312" w:hAnsi="仿宋" w:eastAsia="仿宋_GB2312"/>
          <w:kern w:val="0"/>
          <w:sz w:val="32"/>
          <w:szCs w:val="32"/>
        </w:rPr>
        <w:t>202</w:t>
      </w:r>
      <w:r>
        <w:rPr>
          <w:rFonts w:hint="eastAsia" w:ascii="仿宋_GB2312" w:hAnsi="仿宋" w:eastAsia="仿宋_GB2312"/>
          <w:kern w:val="0"/>
          <w:sz w:val="32"/>
          <w:szCs w:val="32"/>
          <w:lang w:val="en-US" w:eastAsia="zh-CN"/>
        </w:rPr>
        <w:t>2</w:t>
      </w:r>
      <w:r>
        <w:rPr>
          <w:rFonts w:hint="eastAsia" w:ascii="仿宋_GB2312" w:hAnsi="仿宋" w:eastAsia="仿宋_GB2312"/>
          <w:kern w:val="0"/>
          <w:sz w:val="32"/>
          <w:szCs w:val="32"/>
        </w:rPr>
        <w:t>年12月31日，本单位国有资产占用情况见公开10表《国有资产占用情况表》。</w:t>
      </w:r>
      <w:r>
        <w:rPr>
          <w:rFonts w:hint="eastAsia" w:ascii="仿宋_GB2312" w:hAnsi="仿宋" w:eastAsia="仿宋_GB2312"/>
          <w:kern w:val="0"/>
          <w:sz w:val="32"/>
          <w:szCs w:val="32"/>
          <w:lang w:eastAsia="zh-CN"/>
        </w:rPr>
        <w:t>本部门国有资产占用情况表有其他用车</w:t>
      </w:r>
      <w:r>
        <w:rPr>
          <w:rFonts w:hint="eastAsia" w:ascii="仿宋_GB2312" w:hAnsi="仿宋" w:eastAsia="仿宋_GB2312"/>
          <w:kern w:val="0"/>
          <w:sz w:val="32"/>
          <w:szCs w:val="32"/>
          <w:lang w:val="en-US" w:eastAsia="zh-CN"/>
        </w:rPr>
        <w:t>1辆。</w:t>
      </w:r>
    </w:p>
    <w:p w14:paraId="0D0F4B5D">
      <w:pPr>
        <w:ind w:firstLine="630"/>
        <w:jc w:val="left"/>
        <w:rPr>
          <w:rFonts w:hint="eastAsia" w:ascii="黑体" w:hAnsi="黑体" w:eastAsia="黑体"/>
          <w:color w:val="auto"/>
          <w:sz w:val="32"/>
          <w:szCs w:val="32"/>
        </w:rPr>
      </w:pPr>
      <w:r>
        <w:rPr>
          <w:rFonts w:hint="eastAsia" w:ascii="黑体" w:hAnsi="黑体" w:eastAsia="黑体"/>
          <w:color w:val="auto"/>
          <w:sz w:val="32"/>
          <w:szCs w:val="32"/>
        </w:rPr>
        <w:t>九、预算绩效</w:t>
      </w:r>
      <w:r>
        <w:rPr>
          <w:rFonts w:hint="eastAsia" w:ascii="黑体" w:hAnsi="黑体" w:eastAsia="黑体"/>
          <w:color w:val="auto"/>
          <w:sz w:val="32"/>
          <w:szCs w:val="32"/>
          <w:lang w:val="en-US" w:eastAsia="zh-CN"/>
        </w:rPr>
        <w:t>评价</w:t>
      </w:r>
      <w:r>
        <w:rPr>
          <w:rFonts w:hint="eastAsia" w:ascii="黑体" w:hAnsi="黑体" w:eastAsia="黑体"/>
          <w:color w:val="auto"/>
          <w:sz w:val="32"/>
          <w:szCs w:val="32"/>
        </w:rPr>
        <w:t>情况说明</w:t>
      </w:r>
    </w:p>
    <w:p w14:paraId="2DAFA8DB">
      <w:pPr>
        <w:pStyle w:val="4"/>
        <w:rPr>
          <w:rFonts w:hint="default" w:eastAsia="宋体"/>
          <w:b/>
          <w:bCs/>
          <w:sz w:val="32"/>
          <w:szCs w:val="32"/>
          <w:lang w:val="en-US" w:eastAsia="zh-CN"/>
        </w:rPr>
      </w:pPr>
      <w:r>
        <w:rPr>
          <w:rFonts w:hint="eastAsia"/>
          <w:sz w:val="32"/>
          <w:szCs w:val="32"/>
          <w:lang w:val="en-US" w:eastAsia="zh-CN"/>
        </w:rPr>
        <w:t xml:space="preserve">     </w:t>
      </w:r>
      <w:r>
        <w:rPr>
          <w:rFonts w:hint="eastAsia" w:ascii="仿宋" w:hAnsi="仿宋" w:eastAsia="仿宋" w:cs="仿宋"/>
          <w:b w:val="0"/>
          <w:bCs w:val="0"/>
          <w:color w:val="auto"/>
          <w:sz w:val="32"/>
          <w:szCs w:val="32"/>
          <w:lang w:val="en-US" w:eastAsia="zh-CN"/>
        </w:rPr>
        <w:t>（一）</w:t>
      </w:r>
      <w:r>
        <w:rPr>
          <w:rFonts w:hint="eastAsia" w:ascii="仿宋_GB2312" w:hAnsi="仿宋_GB2312" w:eastAsia="仿宋_GB2312" w:cs="仿宋_GB2312"/>
          <w:b w:val="0"/>
          <w:bCs w:val="0"/>
          <w:color w:val="auto"/>
          <w:kern w:val="0"/>
          <w:sz w:val="32"/>
          <w:szCs w:val="32"/>
        </w:rPr>
        <w:t>绩效</w:t>
      </w:r>
      <w:r>
        <w:rPr>
          <w:rFonts w:hint="eastAsia" w:ascii="仿宋_GB2312" w:hAnsi="仿宋_GB2312" w:eastAsia="仿宋_GB2312" w:cs="仿宋_GB2312"/>
          <w:b w:val="0"/>
          <w:bCs w:val="0"/>
          <w:color w:val="auto"/>
          <w:kern w:val="0"/>
          <w:sz w:val="32"/>
          <w:szCs w:val="32"/>
          <w:lang w:val="en-US" w:eastAsia="zh-CN"/>
        </w:rPr>
        <w:t>评价</w:t>
      </w:r>
      <w:r>
        <w:rPr>
          <w:rFonts w:hint="eastAsia" w:ascii="仿宋_GB2312" w:hAnsi="仿宋_GB2312" w:eastAsia="仿宋_GB2312" w:cs="仿宋_GB2312"/>
          <w:b w:val="0"/>
          <w:bCs w:val="0"/>
          <w:color w:val="auto"/>
          <w:kern w:val="0"/>
          <w:sz w:val="32"/>
          <w:szCs w:val="32"/>
        </w:rPr>
        <w:t>工作开展情况。</w:t>
      </w:r>
    </w:p>
    <w:p w14:paraId="632C069B">
      <w:pPr>
        <w:autoSpaceDE w:val="0"/>
        <w:autoSpaceDN w:val="0"/>
        <w:adjustRightInd w:val="0"/>
        <w:spacing w:line="360" w:lineRule="auto"/>
        <w:ind w:firstLine="640" w:firstLineChars="200"/>
        <w:jc w:val="left"/>
        <w:rPr>
          <w:rFonts w:hint="eastAsia" w:ascii="仿宋" w:hAnsi="仿宋" w:eastAsia="仿宋" w:cs="仿宋_GB2312"/>
          <w:color w:val="auto"/>
          <w:kern w:val="0"/>
          <w:sz w:val="32"/>
          <w:szCs w:val="32"/>
          <w:highlight w:val="none"/>
          <w:lang w:val="en-US" w:eastAsia="zh-CN"/>
        </w:rPr>
      </w:pPr>
      <w:r>
        <w:rPr>
          <w:rFonts w:hint="eastAsia" w:ascii="仿宋" w:hAnsi="仿宋" w:eastAsia="仿宋" w:cs="仿宋_GB2312"/>
          <w:kern w:val="0"/>
          <w:sz w:val="32"/>
          <w:szCs w:val="32"/>
        </w:rPr>
        <w:t>根</w:t>
      </w:r>
      <w:r>
        <w:rPr>
          <w:rFonts w:hint="eastAsia" w:ascii="仿宋" w:hAnsi="仿宋" w:eastAsia="仿宋" w:cs="仿宋_GB2312"/>
          <w:color w:val="auto"/>
          <w:kern w:val="0"/>
          <w:sz w:val="32"/>
          <w:szCs w:val="32"/>
          <w:highlight w:val="none"/>
        </w:rPr>
        <w:t>据预算绩效管理要求，我</w:t>
      </w:r>
      <w:r>
        <w:rPr>
          <w:rFonts w:hint="eastAsia" w:ascii="仿宋" w:hAnsi="仿宋" w:eastAsia="仿宋" w:cs="仿宋_GB2312"/>
          <w:color w:val="auto"/>
          <w:kern w:val="0"/>
          <w:sz w:val="32"/>
          <w:szCs w:val="32"/>
          <w:highlight w:val="none"/>
          <w:lang w:val="en-US" w:eastAsia="zh-CN"/>
        </w:rPr>
        <w:t>单位</w:t>
      </w:r>
      <w:r>
        <w:rPr>
          <w:rFonts w:hint="eastAsia" w:ascii="仿宋" w:hAnsi="仿宋" w:eastAsia="仿宋" w:cs="仿宋_GB2312"/>
          <w:color w:val="auto"/>
          <w:kern w:val="0"/>
          <w:sz w:val="32"/>
          <w:szCs w:val="32"/>
          <w:highlight w:val="none"/>
        </w:rPr>
        <w:t>组织对</w:t>
      </w:r>
      <w:r>
        <w:rPr>
          <w:rFonts w:ascii="仿宋" w:hAnsi="仿宋" w:eastAsia="仿宋" w:cs="仿宋_GB2312"/>
          <w:color w:val="auto"/>
          <w:kern w:val="0"/>
          <w:sz w:val="32"/>
          <w:szCs w:val="32"/>
          <w:highlight w:val="none"/>
        </w:rPr>
        <w:t>20</w:t>
      </w:r>
      <w:r>
        <w:rPr>
          <w:rFonts w:hint="eastAsia" w:ascii="仿宋" w:hAnsi="仿宋" w:eastAsia="仿宋" w:cs="仿宋_GB2312"/>
          <w:color w:val="auto"/>
          <w:kern w:val="0"/>
          <w:sz w:val="32"/>
          <w:szCs w:val="32"/>
          <w:highlight w:val="none"/>
        </w:rPr>
        <w:t>2</w:t>
      </w:r>
      <w:r>
        <w:rPr>
          <w:rFonts w:hint="eastAsia" w:ascii="仿宋" w:hAnsi="仿宋" w:eastAsia="仿宋" w:cs="仿宋_GB2312"/>
          <w:color w:val="auto"/>
          <w:kern w:val="0"/>
          <w:sz w:val="32"/>
          <w:szCs w:val="32"/>
          <w:highlight w:val="none"/>
          <w:lang w:val="en-US" w:eastAsia="zh-CN"/>
        </w:rPr>
        <w:t>2</w:t>
      </w:r>
      <w:r>
        <w:rPr>
          <w:rFonts w:hint="eastAsia" w:ascii="仿宋" w:hAnsi="仿宋" w:eastAsia="仿宋" w:cs="仿宋_GB2312"/>
          <w:color w:val="auto"/>
          <w:kern w:val="0"/>
          <w:sz w:val="32"/>
          <w:szCs w:val="32"/>
          <w:highlight w:val="none"/>
        </w:rPr>
        <w:t>年度一般公共预算项目支出</w:t>
      </w:r>
      <w:r>
        <w:rPr>
          <w:rFonts w:hint="eastAsia" w:ascii="仿宋" w:hAnsi="仿宋" w:eastAsia="仿宋" w:cs="仿宋_GB2312"/>
          <w:color w:val="auto"/>
          <w:kern w:val="0"/>
          <w:sz w:val="32"/>
          <w:szCs w:val="32"/>
          <w:highlight w:val="none"/>
          <w:lang w:val="en-US" w:eastAsia="zh-CN"/>
        </w:rPr>
        <w:t>1个二级项目</w:t>
      </w:r>
      <w:r>
        <w:rPr>
          <w:rFonts w:hint="eastAsia" w:ascii="仿宋" w:hAnsi="仿宋" w:eastAsia="仿宋" w:cs="仿宋_GB2312"/>
          <w:color w:val="auto"/>
          <w:kern w:val="0"/>
          <w:sz w:val="32"/>
          <w:szCs w:val="32"/>
          <w:highlight w:val="none"/>
        </w:rPr>
        <w:t>全面开展绩效自评，共涉及资金</w:t>
      </w:r>
      <w:r>
        <w:rPr>
          <w:rFonts w:hint="eastAsia" w:ascii="仿宋" w:hAnsi="仿宋" w:eastAsia="仿宋" w:cs="仿宋_GB2312"/>
          <w:color w:val="auto"/>
          <w:kern w:val="0"/>
          <w:sz w:val="32"/>
          <w:szCs w:val="32"/>
          <w:highlight w:val="none"/>
          <w:lang w:val="en-US" w:eastAsia="zh-CN"/>
        </w:rPr>
        <w:t>335.4</w:t>
      </w:r>
      <w:r>
        <w:rPr>
          <w:rFonts w:hint="eastAsia" w:ascii="仿宋" w:hAnsi="仿宋" w:eastAsia="仿宋"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占项目支出总额的</w:t>
      </w:r>
      <w:r>
        <w:rPr>
          <w:rFonts w:hint="eastAsia" w:ascii="仿宋_GB2312" w:hAnsi="仿宋_GB2312" w:eastAsia="仿宋_GB2312" w:cs="仿宋_GB2312"/>
          <w:color w:val="auto"/>
          <w:kern w:val="0"/>
          <w:sz w:val="32"/>
          <w:szCs w:val="32"/>
          <w:highlight w:val="none"/>
          <w:lang w:val="en-US" w:eastAsia="zh-CN"/>
        </w:rPr>
        <w:t>56.59</w:t>
      </w:r>
      <w:r>
        <w:rPr>
          <w:rFonts w:hint="eastAsia" w:ascii="仿宋_GB2312" w:hAnsi="仿宋_GB2312" w:eastAsia="仿宋_GB2312" w:cs="仿宋_GB2312"/>
          <w:color w:val="auto"/>
          <w:kern w:val="0"/>
          <w:sz w:val="32"/>
          <w:szCs w:val="32"/>
          <w:highlight w:val="none"/>
        </w:rPr>
        <w:t>%。</w:t>
      </w:r>
    </w:p>
    <w:p w14:paraId="79238367">
      <w:pPr>
        <w:numPr>
          <w:ilvl w:val="0"/>
          <w:numId w:val="3"/>
        </w:numPr>
        <w:autoSpaceDE w:val="0"/>
        <w:autoSpaceDN w:val="0"/>
        <w:adjustRightInd w:val="0"/>
        <w:spacing w:line="360" w:lineRule="auto"/>
        <w:ind w:left="0" w:leftChars="0" w:firstLine="630" w:firstLineChars="0"/>
        <w:jc w:val="left"/>
        <w:rPr>
          <w:rFonts w:hint="eastAsia" w:ascii="仿宋" w:hAnsi="仿宋" w:eastAsia="仿宋" w:cs="仿宋_GB2312"/>
          <w:b w:val="0"/>
          <w:bCs w:val="0"/>
          <w:color w:val="auto"/>
          <w:kern w:val="0"/>
          <w:sz w:val="32"/>
          <w:szCs w:val="32"/>
          <w:highlight w:val="none"/>
        </w:rPr>
      </w:pPr>
      <w:r>
        <w:rPr>
          <w:rFonts w:hint="eastAsia" w:ascii="仿宋" w:hAnsi="仿宋" w:eastAsia="仿宋" w:cs="仿宋_GB2312"/>
          <w:b w:val="0"/>
          <w:bCs w:val="0"/>
          <w:color w:val="auto"/>
          <w:kern w:val="0"/>
          <w:sz w:val="32"/>
          <w:szCs w:val="32"/>
          <w:highlight w:val="none"/>
        </w:rPr>
        <w:t>单位决算中项目绩效自评情况</w:t>
      </w:r>
    </w:p>
    <w:p w14:paraId="513E1E4B">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将2022年度《项目支出绩效自评表》（自选1个项目）进行公开。</w:t>
      </w:r>
    </w:p>
    <w:p w14:paraId="5B9AD863">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26EFC3FA">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06DD7AEB">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20B9B1AA">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7BA407DE">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3B0E548D">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0B580B64">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5592AFA8">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04C84D5A">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03BD1AC5">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7564A108">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67A96AE1">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4AC14D14">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1503BE16">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58B09CF0">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20E250BC">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282FA3FF">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042B4FBE">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27869A3F">
      <w:pPr>
        <w:numPr>
          <w:ilvl w:val="0"/>
          <w:numId w:val="0"/>
        </w:numPr>
        <w:autoSpaceDE w:val="0"/>
        <w:autoSpaceDN w:val="0"/>
        <w:adjustRightInd w:val="0"/>
        <w:spacing w:line="360" w:lineRule="auto"/>
        <w:ind w:firstLine="640" w:firstLineChars="200"/>
        <w:jc w:val="left"/>
        <w:rPr>
          <w:rFonts w:hint="eastAsia" w:ascii="仿宋_GB2312" w:hAnsi="仿宋_GB2312" w:eastAsia="仿宋_GB2312" w:cs="仿宋_GB2312"/>
          <w:color w:val="auto"/>
          <w:kern w:val="0"/>
          <w:sz w:val="32"/>
          <w:szCs w:val="32"/>
          <w:lang w:val="en-US" w:eastAsia="zh-CN"/>
        </w:rPr>
      </w:pPr>
    </w:p>
    <w:p w14:paraId="006139B3">
      <w:pPr>
        <w:pStyle w:val="4"/>
        <w:rPr>
          <w:rFonts w:hint="default"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附件：</w:t>
      </w:r>
    </w:p>
    <w:tbl>
      <w:tblPr>
        <w:tblStyle w:val="2"/>
        <w:tblW w:w="8720" w:type="dxa"/>
        <w:tblInd w:w="7" w:type="dxa"/>
        <w:shd w:val="clear" w:color="auto" w:fill="auto"/>
        <w:tblLayout w:type="fixed"/>
        <w:tblCellMar>
          <w:top w:w="0" w:type="dxa"/>
          <w:left w:w="0" w:type="dxa"/>
          <w:bottom w:w="0" w:type="dxa"/>
          <w:right w:w="0" w:type="dxa"/>
        </w:tblCellMar>
      </w:tblPr>
      <w:tblGrid>
        <w:gridCol w:w="846"/>
        <w:gridCol w:w="558"/>
        <w:gridCol w:w="1934"/>
        <w:gridCol w:w="1744"/>
        <w:gridCol w:w="809"/>
        <w:gridCol w:w="1013"/>
        <w:gridCol w:w="698"/>
        <w:gridCol w:w="456"/>
        <w:gridCol w:w="662"/>
      </w:tblGrid>
      <w:tr w14:paraId="5C013DD9">
        <w:tblPrEx>
          <w:shd w:val="clear" w:color="auto" w:fill="auto"/>
          <w:tblCellMar>
            <w:top w:w="0" w:type="dxa"/>
            <w:left w:w="0" w:type="dxa"/>
            <w:bottom w:w="0" w:type="dxa"/>
            <w:right w:w="0" w:type="dxa"/>
          </w:tblCellMar>
        </w:tblPrEx>
        <w:trPr>
          <w:trHeight w:val="564" w:hRule="atLeast"/>
        </w:trPr>
        <w:tc>
          <w:tcPr>
            <w:tcW w:w="8720" w:type="dxa"/>
            <w:gridSpan w:val="9"/>
            <w:tcBorders>
              <w:top w:val="nil"/>
              <w:left w:val="nil"/>
              <w:bottom w:val="nil"/>
              <w:right w:val="nil"/>
            </w:tcBorders>
            <w:shd w:val="clear" w:color="auto" w:fill="auto"/>
            <w:tcMar>
              <w:top w:w="15" w:type="dxa"/>
              <w:left w:w="15" w:type="dxa"/>
              <w:right w:w="15" w:type="dxa"/>
            </w:tcMar>
            <w:vAlign w:val="center"/>
          </w:tcPr>
          <w:p w14:paraId="228247CC">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w:t>
            </w:r>
            <w:r>
              <w:rPr>
                <w:rFonts w:hint="eastAsia" w:ascii="宋体" w:hAnsi="宋体" w:cs="宋体"/>
                <w:b/>
                <w:i w:val="0"/>
                <w:color w:val="000000"/>
                <w:kern w:val="0"/>
                <w:sz w:val="32"/>
                <w:szCs w:val="32"/>
                <w:u w:val="none"/>
                <w:lang w:val="en-US" w:eastAsia="zh-CN" w:bidi="ar"/>
              </w:rPr>
              <w:t>项目</w:t>
            </w:r>
            <w:r>
              <w:rPr>
                <w:rFonts w:hint="eastAsia" w:ascii="宋体" w:hAnsi="宋体" w:eastAsia="宋体" w:cs="宋体"/>
                <w:b/>
                <w:i w:val="0"/>
                <w:color w:val="000000"/>
                <w:kern w:val="0"/>
                <w:sz w:val="32"/>
                <w:szCs w:val="32"/>
                <w:u w:val="none"/>
                <w:lang w:val="en-US" w:eastAsia="zh-CN" w:bidi="ar"/>
              </w:rPr>
              <w:t>支出绩效自评表》</w:t>
            </w:r>
          </w:p>
        </w:tc>
      </w:tr>
      <w:tr w14:paraId="1849D2C6">
        <w:tblPrEx>
          <w:shd w:val="clear" w:color="auto" w:fill="auto"/>
          <w:tblCellMar>
            <w:top w:w="0" w:type="dxa"/>
            <w:left w:w="0" w:type="dxa"/>
            <w:bottom w:w="0" w:type="dxa"/>
            <w:right w:w="0" w:type="dxa"/>
          </w:tblCellMar>
        </w:tblPrEx>
        <w:trPr>
          <w:trHeight w:val="322" w:hRule="atLeast"/>
        </w:trPr>
        <w:tc>
          <w:tcPr>
            <w:tcW w:w="8720" w:type="dxa"/>
            <w:gridSpan w:val="9"/>
            <w:tcBorders>
              <w:top w:val="nil"/>
              <w:left w:val="nil"/>
              <w:bottom w:val="nil"/>
              <w:right w:val="nil"/>
            </w:tcBorders>
            <w:shd w:val="clear" w:color="auto" w:fill="auto"/>
            <w:tcMar>
              <w:top w:w="15" w:type="dxa"/>
              <w:left w:w="15" w:type="dxa"/>
              <w:right w:w="15" w:type="dxa"/>
            </w:tcMar>
            <w:vAlign w:val="center"/>
          </w:tcPr>
          <w:p w14:paraId="4CD85B86">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r>
              <w:rPr>
                <w:rStyle w:val="6"/>
                <w:rFonts w:eastAsia="宋体"/>
                <w:lang w:val="en-US" w:eastAsia="zh-CN" w:bidi="ar"/>
              </w:rPr>
              <w:t xml:space="preserve"> 202</w:t>
            </w:r>
            <w:r>
              <w:rPr>
                <w:rStyle w:val="6"/>
                <w:rFonts w:hint="eastAsia"/>
                <w:lang w:val="en-US" w:eastAsia="zh-CN" w:bidi="ar"/>
              </w:rPr>
              <w:t>2</w:t>
            </w:r>
            <w:r>
              <w:rPr>
                <w:rStyle w:val="7"/>
                <w:lang w:val="en-US" w:eastAsia="zh-CN" w:bidi="ar"/>
              </w:rPr>
              <w:t>年度）</w:t>
            </w:r>
          </w:p>
        </w:tc>
      </w:tr>
      <w:tr w14:paraId="28807B8A">
        <w:tblPrEx>
          <w:shd w:val="clear" w:color="auto" w:fill="auto"/>
          <w:tblCellMar>
            <w:top w:w="0" w:type="dxa"/>
            <w:left w:w="0" w:type="dxa"/>
            <w:bottom w:w="0" w:type="dxa"/>
            <w:right w:w="0" w:type="dxa"/>
          </w:tblCellMar>
        </w:tblPrEx>
        <w:trPr>
          <w:trHeight w:val="298" w:hRule="atLeast"/>
        </w:trPr>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693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评价部门名称</w:t>
            </w:r>
          </w:p>
        </w:tc>
        <w:tc>
          <w:tcPr>
            <w:tcW w:w="36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D38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景德镇市军队离休退休干部休养所</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5C8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下属单位个数</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FB6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14:paraId="3CFD8EA4">
        <w:tblPrEx>
          <w:shd w:val="clear" w:color="auto" w:fill="auto"/>
          <w:tblCellMar>
            <w:top w:w="0" w:type="dxa"/>
            <w:left w:w="0" w:type="dxa"/>
            <w:bottom w:w="0" w:type="dxa"/>
            <w:right w:w="0" w:type="dxa"/>
          </w:tblCellMar>
        </w:tblPrEx>
        <w:trPr>
          <w:trHeight w:val="298" w:hRule="atLeast"/>
        </w:trPr>
        <w:tc>
          <w:tcPr>
            <w:tcW w:w="14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0F8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整体支出规模</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F9234">
            <w:pPr>
              <w:jc w:val="center"/>
              <w:rPr>
                <w:rFonts w:hint="eastAsia" w:ascii="宋体" w:hAnsi="宋体" w:eastAsia="宋体" w:cs="宋体"/>
                <w:i w:val="0"/>
                <w:color w:val="000000"/>
                <w:sz w:val="18"/>
                <w:szCs w:val="18"/>
                <w:u w:val="none"/>
              </w:rPr>
            </w:pP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34D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278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B80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052C7D52">
        <w:tblPrEx>
          <w:shd w:val="clear" w:color="auto" w:fill="auto"/>
          <w:tblCellMar>
            <w:top w:w="0" w:type="dxa"/>
            <w:left w:w="0" w:type="dxa"/>
            <w:bottom w:w="0" w:type="dxa"/>
            <w:right w:w="0" w:type="dxa"/>
          </w:tblCellMar>
        </w:tblPrEx>
        <w:trPr>
          <w:trHeight w:val="573"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E8B27">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B23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资金来源：（</w:t>
            </w:r>
            <w:r>
              <w:rPr>
                <w:rStyle w:val="8"/>
                <w:rFonts w:eastAsia="宋体"/>
                <w:lang w:val="en-US" w:eastAsia="zh-CN" w:bidi="ar"/>
              </w:rPr>
              <w:t>1</w:t>
            </w:r>
            <w:r>
              <w:rPr>
                <w:rStyle w:val="9"/>
                <w:lang w:val="en-US" w:eastAsia="zh-CN" w:bidi="ar"/>
              </w:rPr>
              <w:t>）财政拨款</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7C0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C89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FE7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14:paraId="79F34612">
        <w:tblPrEx>
          <w:shd w:val="clear" w:color="auto" w:fill="auto"/>
          <w:tblCellMar>
            <w:top w:w="0" w:type="dxa"/>
            <w:left w:w="0" w:type="dxa"/>
            <w:bottom w:w="0" w:type="dxa"/>
            <w:right w:w="0" w:type="dxa"/>
          </w:tblCellMar>
        </w:tblPrEx>
        <w:trPr>
          <w:trHeight w:val="298"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49521">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BD3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w:t>
            </w:r>
            <w:r>
              <w:rPr>
                <w:rStyle w:val="9"/>
                <w:lang w:val="en-US" w:eastAsia="zh-CN" w:bidi="ar"/>
              </w:rPr>
              <w:t>（</w:t>
            </w:r>
            <w:r>
              <w:rPr>
                <w:rStyle w:val="8"/>
                <w:rFonts w:eastAsia="宋体"/>
                <w:lang w:val="en-US" w:eastAsia="zh-CN" w:bidi="ar"/>
              </w:rPr>
              <w:t>2</w:t>
            </w:r>
            <w:r>
              <w:rPr>
                <w:rStyle w:val="9"/>
                <w:lang w:val="en-US" w:eastAsia="zh-CN" w:bidi="ar"/>
              </w:rPr>
              <w:t>）其他资金</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ECAD6">
            <w:pPr>
              <w:jc w:val="center"/>
              <w:rPr>
                <w:rFonts w:hint="eastAsia" w:ascii="宋体" w:hAnsi="宋体" w:eastAsia="宋体" w:cs="宋体"/>
                <w:i w:val="0"/>
                <w:color w:val="000000"/>
                <w:sz w:val="18"/>
                <w:szCs w:val="18"/>
                <w:u w:val="none"/>
              </w:rPr>
            </w:pP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31487">
            <w:pPr>
              <w:jc w:val="center"/>
              <w:rPr>
                <w:rFonts w:hint="eastAsia" w:ascii="宋体" w:hAnsi="宋体" w:eastAsia="宋体" w:cs="宋体"/>
                <w:i w:val="0"/>
                <w:color w:val="000000"/>
                <w:sz w:val="18"/>
                <w:szCs w:val="18"/>
                <w:u w:val="none"/>
              </w:rPr>
            </w:pP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7000C">
            <w:pPr>
              <w:jc w:val="center"/>
              <w:rPr>
                <w:rFonts w:hint="eastAsia" w:ascii="宋体" w:hAnsi="宋体" w:eastAsia="宋体" w:cs="宋体"/>
                <w:i w:val="0"/>
                <w:color w:val="000000"/>
                <w:sz w:val="18"/>
                <w:szCs w:val="18"/>
                <w:u w:val="none"/>
              </w:rPr>
            </w:pPr>
          </w:p>
        </w:tc>
      </w:tr>
      <w:tr w14:paraId="3E32901D">
        <w:tblPrEx>
          <w:shd w:val="clear" w:color="auto" w:fill="auto"/>
          <w:tblCellMar>
            <w:top w:w="0" w:type="dxa"/>
            <w:left w:w="0" w:type="dxa"/>
            <w:bottom w:w="0" w:type="dxa"/>
            <w:right w:w="0" w:type="dxa"/>
          </w:tblCellMar>
        </w:tblPrEx>
        <w:trPr>
          <w:trHeight w:val="573"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275AD">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04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资金结构：（</w:t>
            </w:r>
            <w:r>
              <w:rPr>
                <w:rStyle w:val="8"/>
                <w:rFonts w:eastAsia="宋体"/>
                <w:lang w:val="en-US" w:eastAsia="zh-CN" w:bidi="ar"/>
              </w:rPr>
              <w:t>1</w:t>
            </w:r>
            <w:r>
              <w:rPr>
                <w:rStyle w:val="9"/>
                <w:lang w:val="en-US" w:eastAsia="zh-CN" w:bidi="ar"/>
              </w:rPr>
              <w:t>）基本支出</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F2BE6">
            <w:pPr>
              <w:jc w:val="center"/>
              <w:rPr>
                <w:rFonts w:hint="eastAsia" w:ascii="宋体" w:hAnsi="宋体" w:eastAsia="宋体" w:cs="宋体"/>
                <w:i w:val="0"/>
                <w:color w:val="000000"/>
                <w:sz w:val="18"/>
                <w:szCs w:val="18"/>
                <w:u w:val="none"/>
              </w:rPr>
            </w:pP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0B91E">
            <w:pPr>
              <w:jc w:val="center"/>
              <w:rPr>
                <w:rFonts w:hint="eastAsia" w:ascii="宋体" w:hAnsi="宋体" w:eastAsia="宋体" w:cs="宋体"/>
                <w:i w:val="0"/>
                <w:color w:val="000000"/>
                <w:sz w:val="18"/>
                <w:szCs w:val="18"/>
                <w:u w:val="none"/>
              </w:rPr>
            </w:pP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2DC07">
            <w:pPr>
              <w:jc w:val="center"/>
              <w:rPr>
                <w:rFonts w:hint="eastAsia" w:ascii="宋体" w:hAnsi="宋体" w:eastAsia="宋体" w:cs="宋体"/>
                <w:i w:val="0"/>
                <w:color w:val="000000"/>
                <w:sz w:val="18"/>
                <w:szCs w:val="18"/>
                <w:u w:val="none"/>
              </w:rPr>
            </w:pPr>
          </w:p>
        </w:tc>
      </w:tr>
      <w:tr w14:paraId="4D7C66C0">
        <w:tblPrEx>
          <w:shd w:val="clear" w:color="auto" w:fill="auto"/>
          <w:tblCellMar>
            <w:top w:w="0" w:type="dxa"/>
            <w:left w:w="0" w:type="dxa"/>
            <w:bottom w:w="0" w:type="dxa"/>
            <w:right w:w="0" w:type="dxa"/>
          </w:tblCellMar>
        </w:tblPrEx>
        <w:trPr>
          <w:trHeight w:val="298" w:hRule="atLeast"/>
        </w:trPr>
        <w:tc>
          <w:tcPr>
            <w:tcW w:w="14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E6754">
            <w:pPr>
              <w:jc w:val="center"/>
              <w:rPr>
                <w:rFonts w:hint="eastAsia" w:ascii="宋体" w:hAnsi="宋体" w:eastAsia="宋体" w:cs="宋体"/>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592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w:t>
            </w:r>
            <w:r>
              <w:rPr>
                <w:rStyle w:val="9"/>
                <w:lang w:val="en-US" w:eastAsia="zh-CN" w:bidi="ar"/>
              </w:rPr>
              <w:t>（</w:t>
            </w:r>
            <w:r>
              <w:rPr>
                <w:rStyle w:val="8"/>
                <w:rFonts w:eastAsia="宋体"/>
                <w:lang w:val="en-US" w:eastAsia="zh-CN" w:bidi="ar"/>
              </w:rPr>
              <w:t>2</w:t>
            </w:r>
            <w:r>
              <w:rPr>
                <w:rStyle w:val="9"/>
                <w:lang w:val="en-US" w:eastAsia="zh-CN" w:bidi="ar"/>
              </w:rPr>
              <w:t>）项目支出</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AE5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A67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仿宋" w:hAnsi="仿宋" w:eastAsia="仿宋" w:cs="仿宋_GB2312"/>
                <w:kern w:val="0"/>
                <w:sz w:val="18"/>
                <w:szCs w:val="18"/>
                <w:lang w:val="en-US" w:eastAsia="zh-CN"/>
              </w:rPr>
              <w:t>335.4</w:t>
            </w:r>
          </w:p>
        </w:tc>
        <w:tc>
          <w:tcPr>
            <w:tcW w:w="11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4BB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14:paraId="5E43EF39">
        <w:tblPrEx>
          <w:shd w:val="clear" w:color="auto" w:fill="auto"/>
          <w:tblCellMar>
            <w:top w:w="0" w:type="dxa"/>
            <w:left w:w="0" w:type="dxa"/>
            <w:bottom w:w="0" w:type="dxa"/>
            <w:right w:w="0" w:type="dxa"/>
          </w:tblCellMar>
        </w:tblPrEx>
        <w:trPr>
          <w:trHeight w:val="298"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960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CD7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年初设定目标</w:t>
            </w:r>
          </w:p>
        </w:tc>
        <w:tc>
          <w:tcPr>
            <w:tcW w:w="36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EBA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全年完成情况</w:t>
            </w:r>
          </w:p>
        </w:tc>
      </w:tr>
      <w:tr w14:paraId="7CC8ADF6">
        <w:tblPrEx>
          <w:shd w:val="clear" w:color="auto" w:fill="auto"/>
          <w:tblCellMar>
            <w:top w:w="0" w:type="dxa"/>
            <w:left w:w="0" w:type="dxa"/>
            <w:bottom w:w="0" w:type="dxa"/>
            <w:right w:w="0" w:type="dxa"/>
          </w:tblCellMar>
        </w:tblPrEx>
        <w:trPr>
          <w:trHeight w:val="112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F7E94">
            <w:pPr>
              <w:jc w:val="center"/>
              <w:rPr>
                <w:rFonts w:hint="eastAsia" w:ascii="宋体" w:hAnsi="宋体" w:eastAsia="宋体" w:cs="宋体"/>
                <w:i w:val="0"/>
                <w:color w:val="000000"/>
                <w:sz w:val="18"/>
                <w:szCs w:val="18"/>
                <w:u w:val="none"/>
              </w:rPr>
            </w:pP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59A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该项目资金为退役安置补助经费，目的是提高1984年以来接收军队离退休干部及其家属、遗属医疗、生活保障待遇，维护服务管理机构正常运转；同时提高无军籍职工生活待遇，保持无军籍职工队伍基本稳定</w:t>
            </w:r>
          </w:p>
        </w:tc>
        <w:tc>
          <w:tcPr>
            <w:tcW w:w="36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A5E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全年完成情况良好</w:t>
            </w:r>
          </w:p>
        </w:tc>
      </w:tr>
      <w:tr w14:paraId="431EAA38">
        <w:tblPrEx>
          <w:shd w:val="clear" w:color="auto" w:fill="auto"/>
          <w:tblCellMar>
            <w:top w:w="0" w:type="dxa"/>
            <w:left w:w="0" w:type="dxa"/>
            <w:bottom w:w="0" w:type="dxa"/>
            <w:right w:w="0" w:type="dxa"/>
          </w:tblCellMar>
        </w:tblPrEx>
        <w:trPr>
          <w:trHeight w:val="298" w:hRule="atLeast"/>
        </w:trPr>
        <w:tc>
          <w:tcPr>
            <w:tcW w:w="872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D26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分解目标自评</w:t>
            </w:r>
          </w:p>
        </w:tc>
      </w:tr>
      <w:tr w14:paraId="13D77DD3">
        <w:tblPrEx>
          <w:shd w:val="clear" w:color="auto" w:fill="auto"/>
          <w:tblCellMar>
            <w:top w:w="0" w:type="dxa"/>
            <w:left w:w="0" w:type="dxa"/>
            <w:bottom w:w="0" w:type="dxa"/>
            <w:right w:w="0" w:type="dxa"/>
          </w:tblCellMar>
        </w:tblPrEx>
        <w:trPr>
          <w:trHeight w:val="312"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E6B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A87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权重</w:t>
            </w:r>
          </w:p>
        </w:tc>
        <w:tc>
          <w:tcPr>
            <w:tcW w:w="19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360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9F3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81B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C4D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全年完成值</w:t>
            </w:r>
          </w:p>
        </w:tc>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648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8BB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A5F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偏差及原因分析</w:t>
            </w:r>
          </w:p>
        </w:tc>
      </w:tr>
      <w:tr w14:paraId="7BB4E2AE">
        <w:tblPrEx>
          <w:shd w:val="clear" w:color="auto" w:fill="auto"/>
          <w:tblCellMar>
            <w:top w:w="0" w:type="dxa"/>
            <w:left w:w="0" w:type="dxa"/>
            <w:bottom w:w="0" w:type="dxa"/>
            <w:right w:w="0" w:type="dxa"/>
          </w:tblCellMar>
        </w:tblPrEx>
        <w:trPr>
          <w:trHeight w:val="55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93C7F">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10FC8">
            <w:pPr>
              <w:jc w:val="center"/>
              <w:rPr>
                <w:rFonts w:hint="eastAsia" w:ascii="宋体" w:hAnsi="宋体" w:eastAsia="宋体" w:cs="宋体"/>
                <w:i w:val="0"/>
                <w:color w:val="000000"/>
                <w:sz w:val="18"/>
                <w:szCs w:val="18"/>
                <w:u w:val="none"/>
              </w:rPr>
            </w:pPr>
          </w:p>
        </w:tc>
        <w:tc>
          <w:tcPr>
            <w:tcW w:w="19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4FE6E">
            <w:pPr>
              <w:jc w:val="center"/>
              <w:rPr>
                <w:rFonts w:hint="eastAsia" w:ascii="宋体" w:hAnsi="宋体" w:eastAsia="宋体" w:cs="宋体"/>
                <w:i w:val="0"/>
                <w:color w:val="000000"/>
                <w:sz w:val="18"/>
                <w:szCs w:val="18"/>
                <w:u w:val="none"/>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A6D80">
            <w:pPr>
              <w:jc w:val="center"/>
              <w:rPr>
                <w:rFonts w:hint="eastAsia" w:ascii="宋体" w:hAnsi="宋体" w:eastAsia="宋体" w:cs="宋体"/>
                <w:i w:val="0"/>
                <w:color w:val="000000"/>
                <w:sz w:val="18"/>
                <w:szCs w:val="18"/>
                <w:u w:val="none"/>
              </w:rPr>
            </w:pPr>
          </w:p>
        </w:tc>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C0DDB">
            <w:pPr>
              <w:jc w:val="center"/>
              <w:rPr>
                <w:rFonts w:hint="eastAsia" w:ascii="宋体" w:hAnsi="宋体" w:eastAsia="宋体" w:cs="宋体"/>
                <w:i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DA188">
            <w:pPr>
              <w:jc w:val="center"/>
              <w:rPr>
                <w:rFonts w:hint="eastAsia" w:ascii="宋体" w:hAnsi="宋体" w:eastAsia="宋体" w:cs="宋体"/>
                <w:i w:val="0"/>
                <w:color w:val="000000"/>
                <w:sz w:val="18"/>
                <w:szCs w:val="18"/>
                <w:u w:val="none"/>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42571">
            <w:pPr>
              <w:jc w:val="center"/>
              <w:rPr>
                <w:rFonts w:hint="eastAsia" w:ascii="宋体" w:hAnsi="宋体" w:eastAsia="宋体" w:cs="宋体"/>
                <w:i w:val="0"/>
                <w:color w:val="000000"/>
                <w:sz w:val="18"/>
                <w:szCs w:val="18"/>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D15BD">
            <w:pPr>
              <w:jc w:val="center"/>
              <w:rPr>
                <w:rFonts w:hint="eastAsia" w:ascii="宋体" w:hAnsi="宋体" w:eastAsia="宋体" w:cs="宋体"/>
                <w:i w:val="0"/>
                <w:color w:val="000000"/>
                <w:sz w:val="18"/>
                <w:szCs w:val="18"/>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64E28">
            <w:pPr>
              <w:jc w:val="center"/>
              <w:rPr>
                <w:rFonts w:hint="eastAsia" w:ascii="宋体" w:hAnsi="宋体" w:eastAsia="宋体" w:cs="宋体"/>
                <w:i w:val="0"/>
                <w:color w:val="000000"/>
                <w:sz w:val="18"/>
                <w:szCs w:val="18"/>
                <w:u w:val="none"/>
              </w:rPr>
            </w:pPr>
          </w:p>
        </w:tc>
      </w:tr>
      <w:tr w14:paraId="74350786">
        <w:tblPrEx>
          <w:shd w:val="clear" w:color="auto" w:fill="auto"/>
          <w:tblCellMar>
            <w:top w:w="0" w:type="dxa"/>
            <w:left w:w="0" w:type="dxa"/>
            <w:bottom w:w="0" w:type="dxa"/>
            <w:right w:w="0" w:type="dxa"/>
          </w:tblCellMar>
        </w:tblPrEx>
        <w:trPr>
          <w:trHeight w:val="321"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D14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投入管理指标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FC0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lang w:val="en-US"/>
              </w:rPr>
            </w:pPr>
            <w:r>
              <w:rPr>
                <w:rFonts w:hint="eastAsia" w:ascii="Times New Roman" w:hAnsi="Times New Roman" w:cs="Times New Roman"/>
                <w:i w:val="0"/>
                <w:color w:val="000000"/>
                <w:kern w:val="0"/>
                <w:sz w:val="18"/>
                <w:szCs w:val="18"/>
                <w:u w:val="none"/>
                <w:lang w:val="en-US" w:eastAsia="zh-CN" w:bidi="ar"/>
              </w:rPr>
              <w:t>50</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318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预算编审管理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34C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绩效目标管理</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3D2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A604E">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F10C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F3DBF">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D803A">
            <w:pPr>
              <w:jc w:val="center"/>
              <w:rPr>
                <w:rFonts w:hint="eastAsia" w:ascii="宋体" w:hAnsi="宋体" w:eastAsia="宋体" w:cs="宋体"/>
                <w:i w:val="0"/>
                <w:color w:val="000000"/>
                <w:sz w:val="18"/>
                <w:szCs w:val="18"/>
                <w:u w:val="none"/>
              </w:rPr>
            </w:pPr>
          </w:p>
        </w:tc>
      </w:tr>
      <w:tr w14:paraId="31BB2AFB">
        <w:tblPrEx>
          <w:shd w:val="clear" w:color="auto" w:fill="auto"/>
          <w:tblCellMar>
            <w:top w:w="0" w:type="dxa"/>
            <w:left w:w="0" w:type="dxa"/>
            <w:bottom w:w="0" w:type="dxa"/>
            <w:right w:w="0" w:type="dxa"/>
          </w:tblCellMar>
        </w:tblPrEx>
        <w:trPr>
          <w:trHeight w:val="32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581C8">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9B472">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391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769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支付进度率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017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CEB35">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1EDA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16D7F">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1FB5D">
            <w:pPr>
              <w:jc w:val="center"/>
              <w:rPr>
                <w:rFonts w:hint="eastAsia" w:ascii="宋体" w:hAnsi="宋体" w:eastAsia="宋体" w:cs="宋体"/>
                <w:i w:val="0"/>
                <w:color w:val="000000"/>
                <w:sz w:val="18"/>
                <w:szCs w:val="18"/>
                <w:u w:val="none"/>
              </w:rPr>
            </w:pPr>
          </w:p>
        </w:tc>
      </w:tr>
      <w:tr w14:paraId="17F8F0F1">
        <w:tblPrEx>
          <w:shd w:val="clear" w:color="auto" w:fill="auto"/>
          <w:tblCellMar>
            <w:top w:w="0" w:type="dxa"/>
            <w:left w:w="0" w:type="dxa"/>
            <w:bottom w:w="0" w:type="dxa"/>
            <w:right w:w="0" w:type="dxa"/>
          </w:tblCellMar>
        </w:tblPrEx>
        <w:trPr>
          <w:trHeight w:val="86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16D7D">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13C4D">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D6A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部门结转结余资金管理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FD5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结转结余率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30E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055D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10537">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C8E1">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6C5D2">
            <w:pPr>
              <w:jc w:val="center"/>
              <w:rPr>
                <w:rFonts w:hint="eastAsia" w:ascii="宋体" w:hAnsi="宋体" w:eastAsia="宋体" w:cs="宋体"/>
                <w:i w:val="0"/>
                <w:color w:val="000000"/>
                <w:sz w:val="18"/>
                <w:szCs w:val="18"/>
                <w:u w:val="none"/>
              </w:rPr>
            </w:pPr>
          </w:p>
        </w:tc>
      </w:tr>
      <w:tr w14:paraId="42559E8B">
        <w:tblPrEx>
          <w:shd w:val="clear" w:color="auto" w:fill="auto"/>
          <w:tblCellMar>
            <w:top w:w="0" w:type="dxa"/>
            <w:left w:w="0" w:type="dxa"/>
            <w:bottom w:w="0" w:type="dxa"/>
            <w:right w:w="0" w:type="dxa"/>
          </w:tblCellMar>
        </w:tblPrEx>
        <w:trPr>
          <w:trHeight w:val="32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AFC47">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CDC8C">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8F5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预决算信息公开管理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D27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信息公开性</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C90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4F50E">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3F2B6">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0678D">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72099">
            <w:pPr>
              <w:jc w:val="center"/>
              <w:rPr>
                <w:rFonts w:hint="eastAsia" w:ascii="宋体" w:hAnsi="宋体" w:eastAsia="宋体" w:cs="宋体"/>
                <w:i w:val="0"/>
                <w:color w:val="000000"/>
                <w:sz w:val="18"/>
                <w:szCs w:val="18"/>
                <w:u w:val="none"/>
              </w:rPr>
            </w:pPr>
          </w:p>
        </w:tc>
      </w:tr>
      <w:tr w14:paraId="38E94507">
        <w:tblPrEx>
          <w:shd w:val="clear" w:color="auto" w:fill="auto"/>
          <w:tblCellMar>
            <w:top w:w="0" w:type="dxa"/>
            <w:left w:w="0" w:type="dxa"/>
            <w:bottom w:w="0" w:type="dxa"/>
            <w:right w:w="0" w:type="dxa"/>
          </w:tblCellMar>
        </w:tblPrEx>
        <w:trPr>
          <w:trHeight w:val="321"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EB79">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AACCC">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B91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部门预算管理</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F68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在职人员控制率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14F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9328A">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1AA72">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79A12">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32567">
            <w:pPr>
              <w:jc w:val="center"/>
              <w:rPr>
                <w:rFonts w:hint="eastAsia" w:ascii="宋体" w:hAnsi="宋体" w:eastAsia="宋体" w:cs="宋体"/>
                <w:i w:val="0"/>
                <w:color w:val="000000"/>
                <w:sz w:val="18"/>
                <w:szCs w:val="18"/>
                <w:u w:val="none"/>
              </w:rPr>
            </w:pPr>
          </w:p>
        </w:tc>
      </w:tr>
      <w:tr w14:paraId="0645E756">
        <w:tblPrEx>
          <w:shd w:val="clear" w:color="auto" w:fill="auto"/>
          <w:tblCellMar>
            <w:top w:w="0" w:type="dxa"/>
            <w:left w:w="0" w:type="dxa"/>
            <w:bottom w:w="0" w:type="dxa"/>
            <w:right w:w="0" w:type="dxa"/>
          </w:tblCellMar>
        </w:tblPrEx>
        <w:trPr>
          <w:trHeight w:val="298"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005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AC4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lang w:val="en-US"/>
              </w:rPr>
            </w:pPr>
            <w:r>
              <w:rPr>
                <w:rFonts w:hint="eastAsia" w:ascii="Times New Roman" w:hAnsi="Times New Roman" w:cs="Times New Roman"/>
                <w:i w:val="0"/>
                <w:color w:val="000000"/>
                <w:kern w:val="0"/>
                <w:sz w:val="18"/>
                <w:szCs w:val="18"/>
                <w:u w:val="none"/>
                <w:lang w:val="en-US" w:eastAsia="zh-CN" w:bidi="ar"/>
              </w:rPr>
              <w:t>20</w:t>
            </w:r>
          </w:p>
        </w:tc>
        <w:tc>
          <w:tcPr>
            <w:tcW w:w="19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065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4C93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军休干部人数</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17D7E">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D70E4">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C5CC3">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ACA73">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26BFD">
            <w:pPr>
              <w:jc w:val="center"/>
              <w:rPr>
                <w:rFonts w:hint="eastAsia" w:ascii="宋体" w:hAnsi="宋体" w:eastAsia="宋体" w:cs="宋体"/>
                <w:i w:val="0"/>
                <w:color w:val="000000"/>
                <w:sz w:val="18"/>
                <w:szCs w:val="18"/>
                <w:u w:val="none"/>
              </w:rPr>
            </w:pPr>
          </w:p>
        </w:tc>
      </w:tr>
      <w:tr w14:paraId="299A82DF">
        <w:tblPrEx>
          <w:shd w:val="clear" w:color="auto" w:fill="auto"/>
          <w:tblCellMar>
            <w:top w:w="0" w:type="dxa"/>
            <w:left w:w="0" w:type="dxa"/>
            <w:bottom w:w="0" w:type="dxa"/>
            <w:right w:w="0" w:type="dxa"/>
          </w:tblCellMar>
        </w:tblPrEx>
        <w:trPr>
          <w:trHeight w:val="336"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74CDC">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4C8EB">
            <w:pPr>
              <w:jc w:val="center"/>
              <w:rPr>
                <w:rFonts w:hint="default" w:ascii="Times New Roman" w:hAnsi="Times New Roman" w:eastAsia="宋体" w:cs="Times New Roman"/>
                <w:i w:val="0"/>
                <w:color w:val="000000"/>
                <w:sz w:val="18"/>
                <w:szCs w:val="18"/>
                <w:u w:val="none"/>
              </w:rPr>
            </w:pPr>
          </w:p>
        </w:tc>
        <w:tc>
          <w:tcPr>
            <w:tcW w:w="19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9054A">
            <w:pPr>
              <w:jc w:val="center"/>
              <w:rPr>
                <w:rFonts w:hint="eastAsia" w:ascii="宋体" w:hAnsi="宋体" w:eastAsia="宋体" w:cs="宋体"/>
                <w:i w:val="0"/>
                <w:color w:val="000000"/>
                <w:sz w:val="18"/>
                <w:szCs w:val="18"/>
                <w:u w:val="none"/>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DB3C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无军籍职工人数</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A49F5">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0B388">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60B93">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3CC0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BDE42">
            <w:pPr>
              <w:jc w:val="center"/>
              <w:rPr>
                <w:rFonts w:hint="eastAsia" w:ascii="宋体" w:hAnsi="宋体" w:eastAsia="宋体" w:cs="宋体"/>
                <w:i w:val="0"/>
                <w:color w:val="000000"/>
                <w:sz w:val="18"/>
                <w:szCs w:val="18"/>
                <w:u w:val="none"/>
              </w:rPr>
            </w:pPr>
          </w:p>
        </w:tc>
      </w:tr>
      <w:tr w14:paraId="0A570D0E">
        <w:tblPrEx>
          <w:shd w:val="clear" w:color="auto" w:fill="auto"/>
          <w:tblCellMar>
            <w:top w:w="0" w:type="dxa"/>
            <w:left w:w="0" w:type="dxa"/>
            <w:bottom w:w="0" w:type="dxa"/>
            <w:right w:w="0" w:type="dxa"/>
          </w:tblCellMar>
        </w:tblPrEx>
        <w:trPr>
          <w:trHeight w:val="57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EF4E1">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2E565">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92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F48C9">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发放经费</w:t>
            </w:r>
          </w:p>
          <w:p w14:paraId="732F1F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符合政策规定</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1E8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649C1">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A0F26">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C37F3">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59CC0">
            <w:pPr>
              <w:jc w:val="center"/>
              <w:rPr>
                <w:rFonts w:hint="eastAsia" w:ascii="宋体" w:hAnsi="宋体" w:eastAsia="宋体" w:cs="宋体"/>
                <w:i w:val="0"/>
                <w:color w:val="000000"/>
                <w:sz w:val="18"/>
                <w:szCs w:val="18"/>
                <w:u w:val="none"/>
              </w:rPr>
            </w:pPr>
          </w:p>
        </w:tc>
      </w:tr>
      <w:tr w14:paraId="1565752A">
        <w:tblPrEx>
          <w:shd w:val="clear" w:color="auto" w:fill="auto"/>
          <w:tblCellMar>
            <w:top w:w="0" w:type="dxa"/>
            <w:left w:w="0" w:type="dxa"/>
            <w:bottom w:w="0" w:type="dxa"/>
            <w:right w:w="0" w:type="dxa"/>
          </w:tblCellMar>
        </w:tblPrEx>
        <w:trPr>
          <w:trHeight w:val="57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67841">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50885">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F15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5617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军休及无军籍职工经费及时发放率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103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77D8A">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B41A4">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1F5AF">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0960E">
            <w:pPr>
              <w:jc w:val="center"/>
              <w:rPr>
                <w:rFonts w:hint="eastAsia" w:ascii="宋体" w:hAnsi="宋体" w:eastAsia="宋体" w:cs="宋体"/>
                <w:i w:val="0"/>
                <w:color w:val="000000"/>
                <w:sz w:val="18"/>
                <w:szCs w:val="18"/>
                <w:u w:val="none"/>
              </w:rPr>
            </w:pPr>
          </w:p>
        </w:tc>
      </w:tr>
      <w:tr w14:paraId="68C40BFC">
        <w:tblPrEx>
          <w:shd w:val="clear" w:color="auto" w:fill="auto"/>
          <w:tblCellMar>
            <w:top w:w="0" w:type="dxa"/>
            <w:left w:w="0" w:type="dxa"/>
            <w:bottom w:w="0" w:type="dxa"/>
            <w:right w:w="0" w:type="dxa"/>
          </w:tblCellMar>
        </w:tblPrEx>
        <w:trPr>
          <w:trHeight w:val="573"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B74ED">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效益指标</w:t>
            </w:r>
          </w:p>
        </w:tc>
        <w:tc>
          <w:tcPr>
            <w:tcW w:w="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4E5D8">
            <w:pPr>
              <w:jc w:val="center"/>
              <w:rPr>
                <w:rFonts w:hint="default" w:ascii="Times New Roman" w:hAnsi="Times New Roman" w:eastAsia="宋体" w:cs="Times New Roman"/>
                <w:i w:val="0"/>
                <w:color w:val="000000"/>
                <w:sz w:val="18"/>
                <w:szCs w:val="18"/>
                <w:u w:val="none"/>
                <w:lang w:val="en-US" w:eastAsia="zh-CN"/>
              </w:rPr>
            </w:pPr>
            <w:r>
              <w:rPr>
                <w:rFonts w:hint="eastAsia" w:ascii="Times New Roman" w:hAnsi="Times New Roman" w:cs="Times New Roman"/>
                <w:i w:val="0"/>
                <w:color w:val="000000"/>
                <w:sz w:val="18"/>
                <w:szCs w:val="18"/>
                <w:u w:val="none"/>
                <w:lang w:val="en-US" w:eastAsia="zh-CN"/>
              </w:rPr>
              <w:t>20</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2F8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8755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落实军休人员、</w:t>
            </w:r>
          </w:p>
          <w:p w14:paraId="235359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无军籍职工待遇</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B2E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27FD4">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2B107">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857C4">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2CFD9">
            <w:pPr>
              <w:jc w:val="center"/>
              <w:rPr>
                <w:rFonts w:hint="eastAsia" w:ascii="宋体" w:hAnsi="宋体" w:eastAsia="宋体" w:cs="宋体"/>
                <w:i w:val="0"/>
                <w:color w:val="000000"/>
                <w:sz w:val="18"/>
                <w:szCs w:val="18"/>
                <w:u w:val="none"/>
              </w:rPr>
            </w:pPr>
          </w:p>
        </w:tc>
      </w:tr>
      <w:tr w14:paraId="5267C32B">
        <w:tblPrEx>
          <w:shd w:val="clear" w:color="auto" w:fill="auto"/>
          <w:tblCellMar>
            <w:top w:w="0" w:type="dxa"/>
            <w:left w:w="0" w:type="dxa"/>
            <w:bottom w:w="0" w:type="dxa"/>
            <w:right w:w="0" w:type="dxa"/>
          </w:tblCellMar>
        </w:tblPrEx>
        <w:trPr>
          <w:trHeight w:val="573"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1346C">
            <w:pPr>
              <w:jc w:val="center"/>
              <w:rPr>
                <w:rFonts w:hint="eastAsia" w:ascii="宋体" w:hAnsi="宋体" w:eastAsia="宋体" w:cs="宋体"/>
                <w:i w:val="0"/>
                <w:color w:val="000000"/>
                <w:sz w:val="18"/>
                <w:szCs w:val="18"/>
                <w:u w:val="none"/>
              </w:rPr>
            </w:pPr>
          </w:p>
        </w:tc>
        <w:tc>
          <w:tcPr>
            <w:tcW w:w="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93587">
            <w:pPr>
              <w:jc w:val="center"/>
              <w:rPr>
                <w:rFonts w:hint="default" w:ascii="Times New Roman" w:hAnsi="Times New Roman" w:eastAsia="宋体" w:cs="Times New Roman"/>
                <w:i w:val="0"/>
                <w:color w:val="000000"/>
                <w:sz w:val="18"/>
                <w:szCs w:val="18"/>
                <w:u w:val="none"/>
              </w:rPr>
            </w:pP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26D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C6AC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更多人尊崇军人这一职业</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794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82B8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2F505">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763DE">
            <w:pPr>
              <w:keepNext w:val="0"/>
              <w:keepLines w:val="0"/>
              <w:widowControl/>
              <w:suppressLineNumbers w:val="0"/>
              <w:jc w:val="both"/>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F4232">
            <w:pPr>
              <w:jc w:val="center"/>
              <w:rPr>
                <w:rFonts w:hint="eastAsia" w:ascii="宋体" w:hAnsi="宋体" w:eastAsia="宋体" w:cs="宋体"/>
                <w:i w:val="0"/>
                <w:color w:val="000000"/>
                <w:sz w:val="18"/>
                <w:szCs w:val="18"/>
                <w:u w:val="none"/>
              </w:rPr>
            </w:pPr>
          </w:p>
        </w:tc>
      </w:tr>
      <w:tr w14:paraId="41F5B30E">
        <w:tblPrEx>
          <w:shd w:val="clear" w:color="auto" w:fill="auto"/>
          <w:tblCellMar>
            <w:top w:w="0" w:type="dxa"/>
            <w:left w:w="0" w:type="dxa"/>
            <w:bottom w:w="0" w:type="dxa"/>
            <w:right w:w="0" w:type="dxa"/>
          </w:tblCellMar>
        </w:tblPrEx>
        <w:trPr>
          <w:trHeight w:val="573"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0676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A763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96E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647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军休人员及无军籍职工满意度</w:t>
            </w:r>
          </w:p>
        </w:tc>
        <w:tc>
          <w:tcPr>
            <w:tcW w:w="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7BF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8622E">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9F36">
            <w:pPr>
              <w:keepNext w:val="0"/>
              <w:keepLines w:val="0"/>
              <w:widowControl/>
              <w:suppressLineNumbers w:val="0"/>
              <w:jc w:val="both"/>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6C65C">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5A633">
            <w:pPr>
              <w:jc w:val="center"/>
              <w:rPr>
                <w:rFonts w:hint="eastAsia" w:ascii="宋体" w:hAnsi="宋体" w:eastAsia="宋体" w:cs="宋体"/>
                <w:i w:val="0"/>
                <w:color w:val="000000"/>
                <w:sz w:val="18"/>
                <w:szCs w:val="18"/>
                <w:u w:val="none"/>
              </w:rPr>
            </w:pPr>
          </w:p>
        </w:tc>
      </w:tr>
      <w:tr w14:paraId="2A539F4B">
        <w:tblPrEx>
          <w:shd w:val="clear" w:color="auto" w:fill="auto"/>
          <w:tblCellMar>
            <w:top w:w="0" w:type="dxa"/>
            <w:left w:w="0" w:type="dxa"/>
            <w:bottom w:w="0" w:type="dxa"/>
            <w:right w:w="0" w:type="dxa"/>
          </w:tblCellMar>
        </w:tblPrEx>
        <w:trPr>
          <w:trHeight w:val="298" w:hRule="atLeast"/>
        </w:trPr>
        <w:tc>
          <w:tcPr>
            <w:tcW w:w="6904"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FAC2C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总分</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3D69D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7754C5">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cs="宋体"/>
                <w:i w:val="0"/>
                <w:color w:val="000000"/>
                <w:kern w:val="0"/>
                <w:sz w:val="22"/>
                <w:szCs w:val="22"/>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A8CCC8">
            <w:pPr>
              <w:jc w:val="center"/>
              <w:rPr>
                <w:rFonts w:hint="eastAsia" w:ascii="宋体" w:hAnsi="宋体" w:eastAsia="宋体" w:cs="宋体"/>
                <w:i w:val="0"/>
                <w:color w:val="000000"/>
                <w:sz w:val="22"/>
                <w:szCs w:val="22"/>
                <w:u w:val="none"/>
              </w:rPr>
            </w:pPr>
          </w:p>
        </w:tc>
      </w:tr>
    </w:tbl>
    <w:p w14:paraId="4F330BA8">
      <w:pPr>
        <w:widowControl/>
        <w:spacing w:line="600" w:lineRule="exact"/>
        <w:ind w:firstLine="2209" w:firstLineChars="500"/>
        <w:jc w:val="both"/>
        <w:rPr>
          <w:rFonts w:hint="eastAsia" w:ascii="仿宋_GB2312" w:hAnsi="仿宋" w:eastAsia="仿宋_GB2312"/>
          <w:kern w:val="0"/>
          <w:sz w:val="44"/>
          <w:szCs w:val="44"/>
        </w:rPr>
      </w:pPr>
      <w:r>
        <w:rPr>
          <w:rFonts w:hint="eastAsia" w:ascii="宋体" w:hAnsi="宋体"/>
          <w:b/>
          <w:sz w:val="44"/>
          <w:szCs w:val="44"/>
        </w:rPr>
        <w:t>第四部分  名词解释</w:t>
      </w:r>
    </w:p>
    <w:p w14:paraId="3D028B85">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、社会保障和就业（类）行政事业单位离退休（款）未归口管理的行政单位离退休（项）：指本</w:t>
      </w:r>
      <w:r>
        <w:rPr>
          <w:rFonts w:hint="eastAsia" w:ascii="仿宋_GB2312" w:hAnsi="仿宋" w:eastAsia="仿宋_GB2312"/>
          <w:kern w:val="0"/>
          <w:sz w:val="32"/>
          <w:szCs w:val="32"/>
          <w:lang w:val="en-US" w:eastAsia="zh-CN"/>
        </w:rPr>
        <w:t>单位</w:t>
      </w:r>
      <w:r>
        <w:rPr>
          <w:rFonts w:hint="eastAsia" w:ascii="仿宋_GB2312" w:hAnsi="仿宋" w:eastAsia="仿宋_GB2312"/>
          <w:kern w:val="0"/>
          <w:sz w:val="32"/>
          <w:szCs w:val="32"/>
        </w:rPr>
        <w:t>基本养老保险缴费支出。</w:t>
      </w:r>
    </w:p>
    <w:p w14:paraId="5B9E6227">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、医疗卫生与计划生育（类）医疗保障（款）行政单位医疗（项）：为本</w:t>
      </w:r>
      <w:r>
        <w:rPr>
          <w:rFonts w:hint="eastAsia" w:ascii="仿宋_GB2312" w:hAnsi="仿宋" w:eastAsia="仿宋_GB2312"/>
          <w:kern w:val="0"/>
          <w:sz w:val="32"/>
          <w:szCs w:val="32"/>
          <w:lang w:val="en-US" w:eastAsia="zh-CN"/>
        </w:rPr>
        <w:t>单位</w:t>
      </w:r>
      <w:r>
        <w:rPr>
          <w:rFonts w:hint="eastAsia" w:ascii="仿宋_GB2312" w:hAnsi="仿宋" w:eastAsia="仿宋_GB2312"/>
          <w:kern w:val="0"/>
          <w:sz w:val="32"/>
          <w:szCs w:val="32"/>
        </w:rPr>
        <w:t>干部职工基本医疗保险缴费经费。</w:t>
      </w:r>
    </w:p>
    <w:p w14:paraId="3B61BD9C">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三</w:t>
      </w:r>
      <w:r>
        <w:rPr>
          <w:rFonts w:hint="eastAsia" w:ascii="仿宋_GB2312" w:hAnsi="仿宋" w:eastAsia="仿宋_GB2312"/>
          <w:kern w:val="0"/>
          <w:sz w:val="32"/>
          <w:szCs w:val="32"/>
        </w:rPr>
        <w:t>、住房保障（类）住房改革（款）购房补贴（项）：指本</w:t>
      </w:r>
      <w:r>
        <w:rPr>
          <w:rFonts w:hint="eastAsia" w:ascii="仿宋_GB2312" w:hAnsi="仿宋" w:eastAsia="仿宋_GB2312"/>
          <w:kern w:val="0"/>
          <w:sz w:val="32"/>
          <w:szCs w:val="32"/>
          <w:lang w:val="en-US" w:eastAsia="zh-CN"/>
        </w:rPr>
        <w:t>单位</w:t>
      </w:r>
      <w:r>
        <w:rPr>
          <w:rFonts w:hint="eastAsia" w:ascii="仿宋_GB2312" w:hAnsi="仿宋" w:eastAsia="仿宋_GB2312"/>
          <w:kern w:val="0"/>
          <w:sz w:val="32"/>
          <w:szCs w:val="32"/>
        </w:rPr>
        <w:t>向符合条件干部职工发放的用于购买住房的补贴。</w:t>
      </w:r>
    </w:p>
    <w:p w14:paraId="053491A6">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四</w:t>
      </w:r>
      <w:r>
        <w:rPr>
          <w:rFonts w:hint="eastAsia" w:ascii="仿宋_GB2312" w:hAnsi="仿宋" w:eastAsia="仿宋_GB2312"/>
          <w:kern w:val="0"/>
          <w:sz w:val="32"/>
          <w:szCs w:val="32"/>
        </w:rPr>
        <w:t>、三公经费：是指反映财政拨款安排的因公出国（境）费、公务用车购置及运行费、公务接待费。其中，因公出国（境）费反映单位公务出国的住宿费、差旅费、伙食补助费、杂费、培训费等支出；公务用车购置及运行费反映单位公务用车购置及租赁费、燃料费、维修费、过桥过路费、保险费、安全奖励费用等支出；公务接待费反映单位按照规定开支的种类公务接待（含外宾接待）支出。</w:t>
      </w:r>
    </w:p>
    <w:p w14:paraId="3F83DEAC">
      <w:pPr>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“三公”经费支出统计口径为本办财政拨款支出“三公”经费部分。</w:t>
      </w:r>
    </w:p>
    <w:p w14:paraId="07A77240">
      <w:pPr>
        <w:ind w:firstLine="640" w:firstLineChars="200"/>
        <w:rPr>
          <w:rFonts w:hint="eastAsia" w:ascii="仿宋_GB2312" w:hAnsi="仿宋" w:eastAsia="仿宋_GB2312"/>
          <w:kern w:val="0"/>
          <w:sz w:val="32"/>
          <w:szCs w:val="32"/>
          <w:lang w:eastAsia="zh-CN"/>
        </w:rPr>
      </w:pPr>
      <w:r>
        <w:rPr>
          <w:rFonts w:hint="eastAsia" w:ascii="仿宋_GB2312" w:hAnsi="仿宋" w:eastAsia="仿宋_GB2312"/>
          <w:kern w:val="0"/>
          <w:sz w:val="32"/>
          <w:szCs w:val="32"/>
          <w:lang w:eastAsia="zh-CN"/>
        </w:rPr>
        <w:t>五、</w:t>
      </w:r>
      <w:r>
        <w:rPr>
          <w:rFonts w:hint="eastAsia" w:ascii="仿宋_GB2312" w:hAnsi="仿宋" w:eastAsia="仿宋_GB2312"/>
          <w:kern w:val="0"/>
          <w:sz w:val="32"/>
          <w:szCs w:val="32"/>
        </w:rPr>
        <w:t>机关运行经费：是指为保障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_GB2312" w:hAnsi="仿宋" w:eastAsia="仿宋_GB2312"/>
          <w:kern w:val="0"/>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B1AA1F4">
    <w:panose1 w:val="020B0604020202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E9C7D"/>
    <w:multiLevelType w:val="singleLevel"/>
    <w:tmpl w:val="B97E9C7D"/>
    <w:lvl w:ilvl="0" w:tentative="0">
      <w:start w:val="1"/>
      <w:numFmt w:val="chineseCounting"/>
      <w:suff w:val="nothing"/>
      <w:lvlText w:val="（%1）"/>
      <w:lvlJc w:val="left"/>
      <w:rPr>
        <w:rFonts w:hint="eastAsia"/>
      </w:rPr>
    </w:lvl>
  </w:abstractNum>
  <w:abstractNum w:abstractNumId="1">
    <w:nsid w:val="CEF1AB64"/>
    <w:multiLevelType w:val="singleLevel"/>
    <w:tmpl w:val="CEF1AB64"/>
    <w:lvl w:ilvl="0" w:tentative="0">
      <w:start w:val="8"/>
      <w:numFmt w:val="chineseCounting"/>
      <w:suff w:val="nothing"/>
      <w:lvlText w:val="%1、"/>
      <w:lvlJc w:val="left"/>
      <w:pPr>
        <w:ind w:left="1280" w:firstLine="0"/>
      </w:pPr>
    </w:lvl>
  </w:abstractNum>
  <w:abstractNum w:abstractNumId="2">
    <w:nsid w:val="794694E9"/>
    <w:multiLevelType w:val="singleLevel"/>
    <w:tmpl w:val="794694E9"/>
    <w:lvl w:ilvl="0" w:tentative="0">
      <w:start w:val="1"/>
      <w:numFmt w:val="chineseCounting"/>
      <w:suff w:val="nothing"/>
      <w:lvlText w:val="（%1）"/>
      <w:lvlJc w:val="left"/>
      <w:rPr>
        <w:rFonts w:hint="eastAsia"/>
      </w:rPr>
    </w:lvl>
  </w:abstractNum>
  <w:num w:numId="1">
    <w:abstractNumId w:val="1"/>
    <w:lvlOverride w:ilvl="0">
      <w:startOverride w:val="8"/>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0FD9439F"/>
    <w:rsid w:val="003F6379"/>
    <w:rsid w:val="00682B6A"/>
    <w:rsid w:val="01C904D8"/>
    <w:rsid w:val="034E3879"/>
    <w:rsid w:val="03D70358"/>
    <w:rsid w:val="05474597"/>
    <w:rsid w:val="06426774"/>
    <w:rsid w:val="0645762E"/>
    <w:rsid w:val="06CD0ABC"/>
    <w:rsid w:val="07282FC4"/>
    <w:rsid w:val="08705C1C"/>
    <w:rsid w:val="08832C95"/>
    <w:rsid w:val="091F7812"/>
    <w:rsid w:val="0A894080"/>
    <w:rsid w:val="0A8F3F52"/>
    <w:rsid w:val="0B0B4459"/>
    <w:rsid w:val="0BE502CE"/>
    <w:rsid w:val="0C144E4E"/>
    <w:rsid w:val="0C580AA0"/>
    <w:rsid w:val="0CA92F4A"/>
    <w:rsid w:val="0D35493D"/>
    <w:rsid w:val="0DAF5067"/>
    <w:rsid w:val="0E9D451F"/>
    <w:rsid w:val="0FD9439F"/>
    <w:rsid w:val="100C0002"/>
    <w:rsid w:val="125F5832"/>
    <w:rsid w:val="1332329B"/>
    <w:rsid w:val="134774E3"/>
    <w:rsid w:val="137A16EC"/>
    <w:rsid w:val="13B15CB5"/>
    <w:rsid w:val="13B2334D"/>
    <w:rsid w:val="13B618B4"/>
    <w:rsid w:val="15FF01DE"/>
    <w:rsid w:val="161C5C07"/>
    <w:rsid w:val="165641E1"/>
    <w:rsid w:val="16A30C79"/>
    <w:rsid w:val="1723762B"/>
    <w:rsid w:val="1832236F"/>
    <w:rsid w:val="18831924"/>
    <w:rsid w:val="189D0560"/>
    <w:rsid w:val="18C02DC0"/>
    <w:rsid w:val="19552EA2"/>
    <w:rsid w:val="1A073B05"/>
    <w:rsid w:val="1BA84145"/>
    <w:rsid w:val="1C4971C4"/>
    <w:rsid w:val="1D3D73A1"/>
    <w:rsid w:val="1D81004C"/>
    <w:rsid w:val="1DC15D79"/>
    <w:rsid w:val="1E616809"/>
    <w:rsid w:val="1E7C633A"/>
    <w:rsid w:val="1F3307A4"/>
    <w:rsid w:val="201D5325"/>
    <w:rsid w:val="203F6670"/>
    <w:rsid w:val="20CA36DB"/>
    <w:rsid w:val="2130673A"/>
    <w:rsid w:val="217748AB"/>
    <w:rsid w:val="22261922"/>
    <w:rsid w:val="22372AAE"/>
    <w:rsid w:val="22B060DA"/>
    <w:rsid w:val="238B1935"/>
    <w:rsid w:val="23B87C1E"/>
    <w:rsid w:val="24316AAE"/>
    <w:rsid w:val="25237485"/>
    <w:rsid w:val="25CE7336"/>
    <w:rsid w:val="26211AAB"/>
    <w:rsid w:val="26B648E9"/>
    <w:rsid w:val="270608B2"/>
    <w:rsid w:val="27147A83"/>
    <w:rsid w:val="27514612"/>
    <w:rsid w:val="27EB4A15"/>
    <w:rsid w:val="28BC6261"/>
    <w:rsid w:val="28CB5FBF"/>
    <w:rsid w:val="28E04837"/>
    <w:rsid w:val="290B5DD7"/>
    <w:rsid w:val="29521CEB"/>
    <w:rsid w:val="297669DD"/>
    <w:rsid w:val="2A756C2E"/>
    <w:rsid w:val="2AC025E8"/>
    <w:rsid w:val="2BB54B6E"/>
    <w:rsid w:val="2D482013"/>
    <w:rsid w:val="2D7333C2"/>
    <w:rsid w:val="2E720A0E"/>
    <w:rsid w:val="2F156BEC"/>
    <w:rsid w:val="2FBE78D3"/>
    <w:rsid w:val="30F009F7"/>
    <w:rsid w:val="31794E91"/>
    <w:rsid w:val="326B684B"/>
    <w:rsid w:val="33387F94"/>
    <w:rsid w:val="357609B4"/>
    <w:rsid w:val="35C37417"/>
    <w:rsid w:val="3643528E"/>
    <w:rsid w:val="36A5033B"/>
    <w:rsid w:val="36F756A5"/>
    <w:rsid w:val="37790364"/>
    <w:rsid w:val="38B05592"/>
    <w:rsid w:val="392621A4"/>
    <w:rsid w:val="3976605C"/>
    <w:rsid w:val="3A48749A"/>
    <w:rsid w:val="3A794827"/>
    <w:rsid w:val="3BE850ED"/>
    <w:rsid w:val="3C022837"/>
    <w:rsid w:val="3C1512E1"/>
    <w:rsid w:val="3C426BD9"/>
    <w:rsid w:val="3C4B11D8"/>
    <w:rsid w:val="3CD92F92"/>
    <w:rsid w:val="3D470B38"/>
    <w:rsid w:val="3D507309"/>
    <w:rsid w:val="3E7C3ACF"/>
    <w:rsid w:val="3F212D22"/>
    <w:rsid w:val="3F4777E2"/>
    <w:rsid w:val="3F8F18DF"/>
    <w:rsid w:val="416E62DC"/>
    <w:rsid w:val="418338E4"/>
    <w:rsid w:val="420B1D42"/>
    <w:rsid w:val="424B26B5"/>
    <w:rsid w:val="429171ED"/>
    <w:rsid w:val="43BC0228"/>
    <w:rsid w:val="43C57AC2"/>
    <w:rsid w:val="43EC7BBD"/>
    <w:rsid w:val="44271B46"/>
    <w:rsid w:val="443F4475"/>
    <w:rsid w:val="451E1206"/>
    <w:rsid w:val="45737DA4"/>
    <w:rsid w:val="45C67123"/>
    <w:rsid w:val="45C70B8F"/>
    <w:rsid w:val="468F22E6"/>
    <w:rsid w:val="47610A01"/>
    <w:rsid w:val="477A662A"/>
    <w:rsid w:val="47FB4579"/>
    <w:rsid w:val="48E555AD"/>
    <w:rsid w:val="4944624F"/>
    <w:rsid w:val="49903012"/>
    <w:rsid w:val="49EC2B3D"/>
    <w:rsid w:val="4A361A75"/>
    <w:rsid w:val="4A5E75A0"/>
    <w:rsid w:val="4AED3F9D"/>
    <w:rsid w:val="4C9B30D1"/>
    <w:rsid w:val="4CA07D69"/>
    <w:rsid w:val="4D5D65D8"/>
    <w:rsid w:val="4DD4222A"/>
    <w:rsid w:val="4E227DB1"/>
    <w:rsid w:val="4ED9360D"/>
    <w:rsid w:val="4EDE4449"/>
    <w:rsid w:val="516F0AA1"/>
    <w:rsid w:val="51973340"/>
    <w:rsid w:val="53057EDB"/>
    <w:rsid w:val="53CC70C3"/>
    <w:rsid w:val="54286227"/>
    <w:rsid w:val="55474A33"/>
    <w:rsid w:val="56183346"/>
    <w:rsid w:val="562F62B9"/>
    <w:rsid w:val="577D5EF1"/>
    <w:rsid w:val="57E11157"/>
    <w:rsid w:val="586F64AB"/>
    <w:rsid w:val="58C01D66"/>
    <w:rsid w:val="59436B91"/>
    <w:rsid w:val="59D96660"/>
    <w:rsid w:val="59E05868"/>
    <w:rsid w:val="59F219E2"/>
    <w:rsid w:val="5A671AE5"/>
    <w:rsid w:val="5C4C0B74"/>
    <w:rsid w:val="5C50666A"/>
    <w:rsid w:val="5C5B05BA"/>
    <w:rsid w:val="5C76352B"/>
    <w:rsid w:val="5D10281C"/>
    <w:rsid w:val="5DC65CED"/>
    <w:rsid w:val="5E274671"/>
    <w:rsid w:val="5E396171"/>
    <w:rsid w:val="5E8326A6"/>
    <w:rsid w:val="5F0D3CF6"/>
    <w:rsid w:val="5F384A24"/>
    <w:rsid w:val="5F394D05"/>
    <w:rsid w:val="60BD02A5"/>
    <w:rsid w:val="60FA45BC"/>
    <w:rsid w:val="61CD2A65"/>
    <w:rsid w:val="61F7004F"/>
    <w:rsid w:val="621570E2"/>
    <w:rsid w:val="62921E57"/>
    <w:rsid w:val="62DD6408"/>
    <w:rsid w:val="636B6B2A"/>
    <w:rsid w:val="64D55F10"/>
    <w:rsid w:val="65295CAB"/>
    <w:rsid w:val="67E8684F"/>
    <w:rsid w:val="6A0F0579"/>
    <w:rsid w:val="6A7A0E0F"/>
    <w:rsid w:val="6AB96FCE"/>
    <w:rsid w:val="6C3623DF"/>
    <w:rsid w:val="6C4A7A0C"/>
    <w:rsid w:val="6D096593"/>
    <w:rsid w:val="6D4B2DED"/>
    <w:rsid w:val="6D4E1734"/>
    <w:rsid w:val="6E583F4A"/>
    <w:rsid w:val="6E8D72AA"/>
    <w:rsid w:val="6E96059B"/>
    <w:rsid w:val="6F2179F2"/>
    <w:rsid w:val="6FA929AF"/>
    <w:rsid w:val="702D09C6"/>
    <w:rsid w:val="71851F6E"/>
    <w:rsid w:val="72B62B48"/>
    <w:rsid w:val="72E50CB1"/>
    <w:rsid w:val="7362595E"/>
    <w:rsid w:val="746E2F6F"/>
    <w:rsid w:val="74701ECA"/>
    <w:rsid w:val="75FE283B"/>
    <w:rsid w:val="760A6157"/>
    <w:rsid w:val="7617658A"/>
    <w:rsid w:val="76C20083"/>
    <w:rsid w:val="76D93E27"/>
    <w:rsid w:val="7726505C"/>
    <w:rsid w:val="776155E9"/>
    <w:rsid w:val="77E41F9A"/>
    <w:rsid w:val="79664BE5"/>
    <w:rsid w:val="7A195F3A"/>
    <w:rsid w:val="7A505A00"/>
    <w:rsid w:val="7AA716F4"/>
    <w:rsid w:val="7B4274BD"/>
    <w:rsid w:val="7B61554E"/>
    <w:rsid w:val="7B8750E6"/>
    <w:rsid w:val="7C235A61"/>
    <w:rsid w:val="7C301F44"/>
    <w:rsid w:val="7C9C6796"/>
    <w:rsid w:val="7D9046C1"/>
    <w:rsid w:val="7DCB0D9E"/>
    <w:rsid w:val="7E34170D"/>
    <w:rsid w:val="7F281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纯文本1"/>
    <w:basedOn w:val="1"/>
    <w:qFormat/>
    <w:uiPriority w:val="0"/>
    <w:rPr>
      <w:rFonts w:ascii="宋体" w:hAnsi="Courier New" w:cs="Courier New"/>
      <w:szCs w:val="21"/>
    </w:rPr>
  </w:style>
  <w:style w:type="paragraph" w:customStyle="1" w:styleId="5">
    <w:name w:val="p0"/>
    <w:basedOn w:val="1"/>
    <w:qFormat/>
    <w:uiPriority w:val="0"/>
    <w:pPr>
      <w:widowControl/>
    </w:pPr>
    <w:rPr>
      <w:rFonts w:ascii="Calibri" w:hAnsi="Calibri"/>
      <w:kern w:val="0"/>
      <w:szCs w:val="21"/>
    </w:rPr>
  </w:style>
  <w:style w:type="character" w:customStyle="1" w:styleId="6">
    <w:name w:val="font81"/>
    <w:basedOn w:val="3"/>
    <w:qFormat/>
    <w:uiPriority w:val="0"/>
    <w:rPr>
      <w:rFonts w:hint="default" w:ascii="Times New Roman" w:hAnsi="Times New Roman" w:cs="Times New Roman"/>
      <w:color w:val="000000"/>
      <w:sz w:val="21"/>
      <w:szCs w:val="21"/>
      <w:u w:val="none"/>
    </w:rPr>
  </w:style>
  <w:style w:type="character" w:customStyle="1" w:styleId="7">
    <w:name w:val="font71"/>
    <w:basedOn w:val="3"/>
    <w:qFormat/>
    <w:uiPriority w:val="0"/>
    <w:rPr>
      <w:rFonts w:hint="eastAsia" w:ascii="宋体" w:hAnsi="宋体" w:eastAsia="宋体" w:cs="宋体"/>
      <w:color w:val="000000"/>
      <w:sz w:val="21"/>
      <w:szCs w:val="21"/>
      <w:u w:val="none"/>
    </w:rPr>
  </w:style>
  <w:style w:type="character" w:customStyle="1" w:styleId="8">
    <w:name w:val="font61"/>
    <w:basedOn w:val="3"/>
    <w:qFormat/>
    <w:uiPriority w:val="0"/>
    <w:rPr>
      <w:rFonts w:hint="default" w:ascii="Times New Roman" w:hAnsi="Times New Roman" w:cs="Times New Roman"/>
      <w:color w:val="000000"/>
      <w:sz w:val="18"/>
      <w:szCs w:val="18"/>
      <w:u w:val="none"/>
    </w:rPr>
  </w:style>
  <w:style w:type="character" w:customStyle="1" w:styleId="9">
    <w:name w:val="font51"/>
    <w:basedOn w:val="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661</Words>
  <Characters>681</Characters>
  <Lines>0</Lines>
  <Paragraphs>0</Paragraphs>
  <TotalTime>6</TotalTime>
  <ScaleCrop>false</ScaleCrop>
  <LinksUpToDate>false</LinksUpToDate>
  <CharactersWithSpaces>745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2021-09-29T01:48:00Z</dcterms:created>
  <dc:creator>WPS_1485005624</dc:creator>
  <cp:lastModifiedBy>君君</cp:lastModifiedBy>
  <dcterms:modified xsi:type="dcterms:W3CDTF">2026-07-03T07:43:04Z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FC7C02BCF7D44BF3B8BFE06AF2CFB87A_13</vt:lpwstr>
  </property>
  <property fmtid="{D5CDD505-2E9C-101B-9397-08002B2CF9AE}" pid="4" name="KSOTemplateDocerSaveRecord">
    <vt:lpwstr>eyJoZGlkIjoiZWE1OWFjNGFmMDFjYjY3OTU5YTc5MGYxZmU2Y2M4ZTQiLCJ1c2VySWQiOiI4MTM1MTQ3MzIifQ==</vt:lpwstr>
  </property>
</Properties>
</file>