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5FA0A">
      <w:pPr>
        <w:spacing w:line="600" w:lineRule="exact"/>
        <w:jc w:val="center"/>
        <w:rPr>
          <w:rFonts w:hint="eastAsia" w:ascii="黑体" w:hAnsi="黑体" w:eastAsia="黑体"/>
          <w:sz w:val="44"/>
          <w:szCs w:val="36"/>
          <w:lang w:val="en-US" w:eastAsia="zh-CN"/>
        </w:rPr>
      </w:pPr>
    </w:p>
    <w:p w14:paraId="5F72BB16">
      <w:pPr>
        <w:spacing w:line="600" w:lineRule="exact"/>
        <w:jc w:val="center"/>
        <w:rPr>
          <w:rFonts w:hint="eastAsia" w:ascii="黑体" w:hAnsi="黑体" w:eastAsia="黑体"/>
          <w:sz w:val="44"/>
          <w:szCs w:val="36"/>
          <w:lang w:val="en-US" w:eastAsia="zh-CN"/>
        </w:rPr>
      </w:pPr>
      <w:r>
        <w:rPr>
          <w:rFonts w:hint="eastAsia" w:ascii="黑体" w:hAnsi="黑体" w:eastAsia="黑体"/>
          <w:sz w:val="44"/>
          <w:szCs w:val="36"/>
          <w:lang w:val="en-US" w:eastAsia="zh-CN"/>
        </w:rPr>
        <w:t>景德镇市退役军人事务局</w:t>
      </w:r>
    </w:p>
    <w:p w14:paraId="759E622A">
      <w:pPr>
        <w:spacing w:line="600" w:lineRule="exact"/>
        <w:jc w:val="center"/>
        <w:rPr>
          <w:rFonts w:hint="eastAsia" w:ascii="黑体" w:eastAsia="黑体"/>
          <w:sz w:val="44"/>
          <w:szCs w:val="36"/>
        </w:rPr>
      </w:pPr>
      <w:r>
        <w:rPr>
          <w:rFonts w:hint="eastAsia" w:ascii="黑体" w:eastAsia="黑体"/>
          <w:sz w:val="44"/>
          <w:szCs w:val="36"/>
          <w:lang w:val="en-US" w:eastAsia="zh-CN"/>
        </w:rPr>
        <w:t>2021</w:t>
      </w:r>
      <w:r>
        <w:rPr>
          <w:rFonts w:hint="eastAsia" w:ascii="黑体" w:eastAsia="黑体"/>
          <w:sz w:val="44"/>
          <w:szCs w:val="36"/>
        </w:rPr>
        <w:t>年度部门决算</w:t>
      </w:r>
    </w:p>
    <w:p w14:paraId="67147A84">
      <w:pPr>
        <w:spacing w:line="600" w:lineRule="exact"/>
        <w:jc w:val="center"/>
        <w:rPr>
          <w:rFonts w:hint="eastAsia" w:ascii="黑体" w:eastAsia="黑体"/>
          <w:sz w:val="44"/>
          <w:szCs w:val="36"/>
        </w:rPr>
      </w:pPr>
    </w:p>
    <w:p w14:paraId="71D846FF">
      <w:pPr>
        <w:spacing w:line="600" w:lineRule="exact"/>
        <w:jc w:val="center"/>
        <w:rPr>
          <w:rFonts w:hint="eastAsia" w:ascii="黑体" w:eastAsia="黑体"/>
          <w:sz w:val="40"/>
          <w:szCs w:val="36"/>
        </w:rPr>
      </w:pPr>
      <w:r>
        <w:rPr>
          <w:rFonts w:hint="eastAsia" w:ascii="黑体" w:eastAsia="黑体"/>
          <w:sz w:val="40"/>
          <w:szCs w:val="36"/>
        </w:rPr>
        <w:t>目    录</w:t>
      </w:r>
    </w:p>
    <w:p w14:paraId="5BB380D7">
      <w:pPr>
        <w:widowControl/>
        <w:spacing w:line="600" w:lineRule="exact"/>
        <w:ind w:firstLine="640"/>
        <w:jc w:val="left"/>
        <w:rPr>
          <w:rFonts w:hint="eastAsia" w:ascii="仿宋_GB2312" w:eastAsia="仿宋_GB2312"/>
          <w:sz w:val="32"/>
          <w:szCs w:val="30"/>
        </w:rPr>
      </w:pPr>
    </w:p>
    <w:p w14:paraId="468EE3EB">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第一部分 市退役军人事务局概况</w:t>
      </w:r>
    </w:p>
    <w:p w14:paraId="131B8FA3">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123B3DE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925F450">
      <w:pPr>
        <w:widowControl/>
        <w:spacing w:line="600" w:lineRule="exact"/>
        <w:ind w:firstLine="640"/>
        <w:jc w:val="left"/>
        <w:rPr>
          <w:rFonts w:hint="eastAsia" w:ascii="黑体" w:hAnsi="黑体" w:eastAsia="黑体"/>
          <w:b/>
          <w:bCs/>
          <w:sz w:val="32"/>
          <w:szCs w:val="32"/>
        </w:rPr>
      </w:pPr>
      <w:r>
        <w:rPr>
          <w:rFonts w:hint="eastAsia" w:ascii="黑体" w:hAnsi="黑体" w:eastAsia="黑体"/>
          <w:b/>
          <w:bCs/>
          <w:sz w:val="32"/>
          <w:szCs w:val="32"/>
        </w:rPr>
        <w:t xml:space="preserve">第二部分  </w:t>
      </w:r>
      <w:r>
        <w:rPr>
          <w:rFonts w:hint="eastAsia" w:ascii="黑体" w:hAnsi="黑体" w:eastAsia="黑体"/>
          <w:b/>
          <w:bCs/>
          <w:sz w:val="32"/>
          <w:szCs w:val="32"/>
          <w:lang w:eastAsia="zh-CN"/>
        </w:rPr>
        <w:t>2021</w:t>
      </w:r>
      <w:r>
        <w:rPr>
          <w:rFonts w:hint="eastAsia" w:ascii="黑体" w:hAnsi="黑体" w:eastAsia="黑体"/>
          <w:b/>
          <w:bCs/>
          <w:sz w:val="32"/>
          <w:szCs w:val="32"/>
        </w:rPr>
        <w:t>年度部门决算表</w:t>
      </w:r>
    </w:p>
    <w:p w14:paraId="3C0E2C9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690DEC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7C3A7F8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178345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99ED76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3A47A7C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5588772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2A44554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6AB34EA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B828E7D">
      <w:pPr>
        <w:widowControl/>
        <w:numPr>
          <w:ilvl w:val="0"/>
          <w:numId w:val="0"/>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九、</w:t>
      </w:r>
      <w:r>
        <w:rPr>
          <w:rFonts w:hint="eastAsia" w:ascii="仿宋" w:hAnsi="仿宋" w:eastAsia="仿宋" w:cs="宋体"/>
          <w:kern w:val="0"/>
          <w:sz w:val="32"/>
          <w:szCs w:val="32"/>
          <w:lang w:val="en-US" w:eastAsia="zh-CN"/>
        </w:rPr>
        <w:t>国有资本经营预算财政拨款支出决算表</w:t>
      </w:r>
    </w:p>
    <w:p w14:paraId="22F9E3D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十</w:t>
      </w:r>
      <w:r>
        <w:rPr>
          <w:rFonts w:hint="eastAsia" w:ascii="仿宋" w:hAnsi="仿宋" w:eastAsia="仿宋" w:cs="宋体"/>
          <w:kern w:val="0"/>
          <w:sz w:val="32"/>
          <w:szCs w:val="32"/>
        </w:rPr>
        <w:t>、国有资产占用情况表</w:t>
      </w:r>
    </w:p>
    <w:p w14:paraId="4FF9CB1B">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 xml:space="preserve">第三部分  </w:t>
      </w:r>
      <w:r>
        <w:rPr>
          <w:rFonts w:hint="eastAsia" w:ascii="黑体" w:hAnsi="黑体" w:eastAsia="黑体"/>
          <w:sz w:val="32"/>
          <w:szCs w:val="32"/>
          <w:lang w:eastAsia="zh-CN"/>
        </w:rPr>
        <w:t>2021</w:t>
      </w:r>
      <w:r>
        <w:rPr>
          <w:rFonts w:hint="eastAsia" w:ascii="黑体" w:hAnsi="黑体" w:eastAsia="黑体"/>
          <w:sz w:val="32"/>
          <w:szCs w:val="32"/>
        </w:rPr>
        <w:t>年度部门决算情况说明</w:t>
      </w:r>
    </w:p>
    <w:p w14:paraId="3D07B20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35A10AB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1371D6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3A8196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4E83681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1D2B92C3">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CD3C89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7700132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C7E330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29629CC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16253BC1">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31ED0DA">
      <w:pPr>
        <w:ind w:firstLine="630"/>
        <w:jc w:val="center"/>
        <w:rPr>
          <w:rFonts w:hint="eastAsia" w:ascii="宋体" w:hAnsi="宋体"/>
          <w:b/>
          <w:sz w:val="36"/>
          <w:szCs w:val="36"/>
        </w:rPr>
      </w:pPr>
    </w:p>
    <w:p w14:paraId="6A2B2376">
      <w:pPr>
        <w:ind w:firstLine="630"/>
        <w:jc w:val="center"/>
        <w:rPr>
          <w:rFonts w:hint="eastAsia" w:ascii="宋体" w:hAnsi="宋体"/>
          <w:b/>
          <w:sz w:val="36"/>
          <w:szCs w:val="36"/>
        </w:rPr>
      </w:pPr>
    </w:p>
    <w:p w14:paraId="64FD3096">
      <w:pPr>
        <w:ind w:firstLine="630"/>
        <w:jc w:val="center"/>
        <w:rPr>
          <w:rFonts w:hint="eastAsia" w:ascii="宋体" w:hAnsi="宋体"/>
          <w:b/>
          <w:sz w:val="36"/>
          <w:szCs w:val="36"/>
        </w:rPr>
      </w:pPr>
    </w:p>
    <w:p w14:paraId="40DCEFE0">
      <w:pPr>
        <w:ind w:firstLine="630"/>
        <w:jc w:val="center"/>
        <w:rPr>
          <w:rFonts w:hint="eastAsia" w:ascii="宋体" w:hAnsi="宋体"/>
          <w:b/>
          <w:sz w:val="36"/>
          <w:szCs w:val="36"/>
        </w:rPr>
      </w:pPr>
    </w:p>
    <w:p w14:paraId="50AEB462">
      <w:pPr>
        <w:ind w:firstLine="630"/>
        <w:jc w:val="center"/>
        <w:rPr>
          <w:rFonts w:hint="eastAsia" w:ascii="宋体" w:hAnsi="宋体"/>
          <w:b/>
          <w:sz w:val="36"/>
          <w:szCs w:val="36"/>
        </w:rPr>
      </w:pPr>
    </w:p>
    <w:p w14:paraId="3838A74C">
      <w:pPr>
        <w:ind w:firstLine="630"/>
        <w:jc w:val="center"/>
        <w:rPr>
          <w:rFonts w:hint="eastAsia" w:ascii="宋体" w:hAnsi="宋体"/>
          <w:b/>
          <w:sz w:val="36"/>
          <w:szCs w:val="36"/>
        </w:rPr>
      </w:pPr>
    </w:p>
    <w:p w14:paraId="30CE9203">
      <w:pPr>
        <w:ind w:firstLine="630"/>
        <w:jc w:val="center"/>
        <w:rPr>
          <w:rFonts w:hint="eastAsia" w:ascii="宋体" w:hAnsi="宋体"/>
          <w:b/>
          <w:sz w:val="36"/>
          <w:szCs w:val="36"/>
        </w:rPr>
      </w:pPr>
    </w:p>
    <w:p w14:paraId="58680D76">
      <w:pPr>
        <w:ind w:firstLine="630"/>
        <w:jc w:val="center"/>
        <w:rPr>
          <w:rFonts w:hint="eastAsia" w:ascii="宋体" w:hAnsi="宋体"/>
          <w:b/>
          <w:sz w:val="36"/>
          <w:szCs w:val="36"/>
        </w:rPr>
      </w:pPr>
    </w:p>
    <w:p w14:paraId="5F46D9B3">
      <w:pPr>
        <w:jc w:val="both"/>
        <w:rPr>
          <w:rFonts w:hint="eastAsia" w:ascii="宋体" w:hAnsi="宋体"/>
          <w:b/>
          <w:sz w:val="36"/>
          <w:szCs w:val="36"/>
        </w:rPr>
      </w:pPr>
    </w:p>
    <w:p w14:paraId="7FAF4A65">
      <w:pPr>
        <w:ind w:firstLine="630"/>
        <w:jc w:val="center"/>
        <w:rPr>
          <w:rFonts w:hint="eastAsia" w:ascii="宋体" w:hAnsi="宋体"/>
          <w:b/>
          <w:sz w:val="36"/>
          <w:szCs w:val="36"/>
        </w:rPr>
      </w:pPr>
    </w:p>
    <w:p w14:paraId="0224E215">
      <w:pPr>
        <w:ind w:firstLine="630"/>
        <w:jc w:val="center"/>
        <w:rPr>
          <w:rFonts w:hint="eastAsia" w:ascii="宋体" w:hAnsi="宋体"/>
          <w:b/>
          <w:sz w:val="36"/>
          <w:szCs w:val="36"/>
        </w:rPr>
      </w:pPr>
    </w:p>
    <w:p w14:paraId="12DB94C9">
      <w:pPr>
        <w:widowControl/>
        <w:spacing w:line="580" w:lineRule="exact"/>
        <w:jc w:val="both"/>
        <w:rPr>
          <w:rFonts w:hint="eastAsia" w:ascii="宋体" w:hAnsi="宋体"/>
          <w:b/>
          <w:sz w:val="32"/>
          <w:szCs w:val="30"/>
        </w:rPr>
      </w:pPr>
    </w:p>
    <w:p w14:paraId="22BCC7C3">
      <w:pPr>
        <w:widowControl/>
        <w:spacing w:line="580" w:lineRule="exact"/>
        <w:jc w:val="center"/>
        <w:rPr>
          <w:rFonts w:hint="eastAsia" w:ascii="宋体" w:hAnsi="宋体"/>
          <w:b/>
          <w:sz w:val="32"/>
          <w:szCs w:val="30"/>
        </w:rPr>
      </w:pPr>
      <w:r>
        <w:rPr>
          <w:rFonts w:hint="eastAsia" w:ascii="宋体" w:hAnsi="宋体"/>
          <w:b/>
          <w:sz w:val="32"/>
          <w:szCs w:val="30"/>
        </w:rPr>
        <w:t>第一部分 市退役军人事务局概况</w:t>
      </w:r>
    </w:p>
    <w:p w14:paraId="594BC7D6">
      <w:pPr>
        <w:ind w:firstLine="630"/>
        <w:jc w:val="center"/>
        <w:rPr>
          <w:rFonts w:hint="eastAsia"/>
          <w:sz w:val="32"/>
          <w:szCs w:val="32"/>
        </w:rPr>
      </w:pPr>
    </w:p>
    <w:p w14:paraId="1BEC277D">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1B32E387">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景德镇市退役军人事务局是市政府工作部门，主要职责是：</w:t>
      </w:r>
    </w:p>
    <w:p w14:paraId="360E39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(一)拟订全市退役军人思想政治、管理保障和安置优抚等工作地方性法规规章和政策并组织实施，褒扬彰显退役军人为党、国家和人民牺牲奉献的精神风范和价值导向。</w:t>
      </w:r>
    </w:p>
    <w:p w14:paraId="0C981E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(二)负责全市军队转业干部、复员干部、离休退休干部、退役士兵和无军籍退休退职职工的移交安置工作和自主择业、就业退役军人服务管理等有关工作。</w:t>
      </w:r>
    </w:p>
    <w:p w14:paraId="4AE614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(三)组织指导全市退役军人教育培训工作，协调扶持退役军人和随军随调家属就业创业。                     </w:t>
      </w:r>
    </w:p>
    <w:p w14:paraId="7939C5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(四)会同有关部门拟定全市退役军人特殊保障政策并组织落实。</w:t>
      </w:r>
    </w:p>
    <w:p w14:paraId="11A977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(五)组织协调落实军队移交我市符合条件的离休退休干部住房补贴和无军籍退休退职职工住房维修、房租补贴发放等服务保障工作，以及退役军人医疗保障、社会保险等待遇保障工作。</w:t>
      </w:r>
    </w:p>
    <w:p w14:paraId="17565D6B">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14:paraId="331B8566">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(七)组织指导全市拥军优属工作。负责现役军人、退役军人、军队文职人员和军属优待、抚恤等工作，落实国民党抗战老兵等有关人员优待政策。</w:t>
      </w:r>
    </w:p>
    <w:p w14:paraId="526EC9B7">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八)负责烈士及退役军人荣誉奖励、军人公墓管理维护、纪念活动等工作，依法承担英雄烈士保护相关工作，审核拟列入市级烈士纪念设施名录，按规定总结表彰和宣扬退役军人、退役军人工作单位和个人先进典型事迹。</w:t>
      </w:r>
    </w:p>
    <w:p w14:paraId="5D3FC12C">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(九)指导并监督检查退役军人相关法律法规和政策措施的落实，组织开展退役军人权益维护和有关人员的帮扶援助工作。指导督促所属单位进行安全管理。</w:t>
      </w:r>
    </w:p>
    <w:p w14:paraId="5EE35FD4">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(十)在征求市委组织、机构编制等部门意见基础上，牵头提出全市计划分配军队转业干部、符合条件的退役士兵的安置计划。</w:t>
      </w:r>
    </w:p>
    <w:p w14:paraId="45B51F8C">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(十一)完成市委、市政府交办的其他任务。</w:t>
      </w:r>
    </w:p>
    <w:p w14:paraId="63AAD163">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sz w:val="30"/>
          <w:szCs w:val="30"/>
        </w:rPr>
      </w:pPr>
      <w:r>
        <w:rPr>
          <w:rFonts w:hint="eastAsia" w:ascii="仿宋" w:hAnsi="仿宋" w:eastAsia="仿宋" w:cs="仿宋"/>
          <w:b w:val="0"/>
          <w:bCs w:val="0"/>
          <w:sz w:val="30"/>
          <w:szCs w:val="30"/>
          <w:lang w:val="en-US" w:eastAsia="zh-CN"/>
        </w:rPr>
        <w:t>(十二)职能转变。市退役军人事务局应加强全市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106B5415">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65A6E8CC">
      <w:pPr>
        <w:ind w:firstLine="630"/>
        <w:jc w:val="left"/>
        <w:rPr>
          <w:rFonts w:hint="eastAsia" w:ascii="仿宋" w:hAnsi="仿宋" w:eastAsia="仿宋"/>
          <w:sz w:val="30"/>
          <w:szCs w:val="30"/>
          <w:lang w:val="en-US" w:eastAsia="zh-CN"/>
        </w:rPr>
      </w:pPr>
      <w:r>
        <w:rPr>
          <w:rFonts w:hint="eastAsia" w:ascii="仿宋" w:hAnsi="仿宋" w:eastAsia="仿宋"/>
          <w:sz w:val="30"/>
          <w:szCs w:val="30"/>
        </w:rPr>
        <w:t>纳入本套部门决算汇编范围的单位</w:t>
      </w:r>
      <w:r>
        <w:rPr>
          <w:rFonts w:hint="eastAsia" w:ascii="仿宋" w:hAnsi="仿宋" w:eastAsia="仿宋"/>
          <w:sz w:val="30"/>
          <w:szCs w:val="30"/>
          <w:lang w:val="en-US" w:eastAsia="zh-CN"/>
        </w:rPr>
        <w:t>共5</w:t>
      </w:r>
      <w:r>
        <w:rPr>
          <w:rFonts w:hint="eastAsia" w:ascii="仿宋" w:hAnsi="仿宋" w:eastAsia="仿宋"/>
          <w:sz w:val="30"/>
          <w:szCs w:val="30"/>
        </w:rPr>
        <w:t>个，</w:t>
      </w:r>
      <w:r>
        <w:rPr>
          <w:rFonts w:hint="eastAsia" w:ascii="仿宋" w:hAnsi="仿宋" w:eastAsia="仿宋"/>
          <w:sz w:val="30"/>
          <w:szCs w:val="30"/>
          <w:lang w:val="en-US" w:eastAsia="zh-CN"/>
        </w:rPr>
        <w:t>包括：景德镇市退役军人事务局本级、景德镇市退役军人服务中心、景德镇市烈士陵园管理所、景德镇军供站、景德镇市军队离休退休干部休养所。</w:t>
      </w:r>
    </w:p>
    <w:p w14:paraId="330C06F0">
      <w:pPr>
        <w:ind w:firstLine="630"/>
        <w:jc w:val="left"/>
        <w:rPr>
          <w:rFonts w:hint="eastAsia" w:ascii="仿宋_GB2312" w:hAnsi="仿宋_GB2312" w:eastAsia="仿宋_GB2312"/>
          <w:color w:val="auto"/>
          <w:sz w:val="30"/>
          <w:szCs w:val="30"/>
          <w:lang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年年末实有人数</w:t>
      </w:r>
      <w:r>
        <w:rPr>
          <w:rFonts w:hint="eastAsia" w:ascii="仿宋" w:hAnsi="仿宋" w:eastAsia="仿宋"/>
          <w:sz w:val="30"/>
          <w:szCs w:val="30"/>
          <w:lang w:val="en-US" w:eastAsia="zh-CN"/>
        </w:rPr>
        <w:t>96</w:t>
      </w:r>
      <w:r>
        <w:rPr>
          <w:rFonts w:hint="eastAsia" w:ascii="仿宋" w:hAnsi="仿宋" w:eastAsia="仿宋"/>
          <w:sz w:val="30"/>
          <w:szCs w:val="30"/>
        </w:rPr>
        <w:t>人，其中在职人员</w:t>
      </w:r>
      <w:r>
        <w:rPr>
          <w:rFonts w:hint="eastAsia" w:ascii="仿宋" w:hAnsi="仿宋" w:eastAsia="仿宋"/>
          <w:sz w:val="30"/>
          <w:szCs w:val="30"/>
          <w:lang w:val="en-US" w:eastAsia="zh-CN"/>
        </w:rPr>
        <w:t>67</w:t>
      </w:r>
      <w:r>
        <w:rPr>
          <w:rFonts w:hint="eastAsia" w:ascii="仿宋" w:hAnsi="仿宋" w:eastAsia="仿宋"/>
          <w:sz w:val="30"/>
          <w:szCs w:val="30"/>
        </w:rPr>
        <w:t>人，离休人员</w:t>
      </w:r>
      <w:r>
        <w:rPr>
          <w:rFonts w:hint="eastAsia" w:ascii="仿宋" w:hAnsi="仿宋" w:eastAsia="仿宋"/>
          <w:sz w:val="30"/>
          <w:szCs w:val="30"/>
          <w:lang w:val="en-US" w:eastAsia="zh-CN"/>
        </w:rPr>
        <w:t>6</w:t>
      </w:r>
      <w:r>
        <w:rPr>
          <w:rFonts w:hint="eastAsia" w:ascii="仿宋" w:hAnsi="仿宋" w:eastAsia="仿宋"/>
          <w:sz w:val="30"/>
          <w:szCs w:val="30"/>
        </w:rPr>
        <w:t>人，退休人员</w:t>
      </w:r>
      <w:r>
        <w:rPr>
          <w:rFonts w:hint="eastAsia" w:ascii="仿宋" w:hAnsi="仿宋" w:eastAsia="仿宋"/>
          <w:sz w:val="30"/>
          <w:szCs w:val="30"/>
          <w:lang w:val="en-US" w:eastAsia="zh-CN"/>
        </w:rPr>
        <w:t>23</w:t>
      </w:r>
      <w:r>
        <w:rPr>
          <w:rFonts w:hint="eastAsia" w:ascii="仿宋" w:hAnsi="仿宋" w:eastAsia="仿宋"/>
          <w:sz w:val="30"/>
          <w:szCs w:val="30"/>
        </w:rPr>
        <w:t>人；</w:t>
      </w:r>
      <w:r>
        <w:rPr>
          <w:rFonts w:hint="eastAsia" w:ascii="仿宋" w:hAnsi="仿宋" w:eastAsia="仿宋"/>
          <w:sz w:val="30"/>
          <w:szCs w:val="30"/>
          <w:lang w:val="en-US" w:eastAsia="zh-CN"/>
        </w:rPr>
        <w:t>年</w:t>
      </w:r>
      <w:r>
        <w:rPr>
          <w:rFonts w:hint="eastAsia" w:ascii="仿宋" w:hAnsi="仿宋" w:eastAsia="仿宋"/>
          <w:sz w:val="30"/>
          <w:szCs w:val="30"/>
        </w:rPr>
        <w:t>末其他人员</w:t>
      </w:r>
      <w:r>
        <w:rPr>
          <w:rFonts w:hint="eastAsia" w:ascii="仿宋" w:hAnsi="仿宋" w:eastAsia="仿宋"/>
          <w:sz w:val="30"/>
          <w:szCs w:val="30"/>
          <w:lang w:val="en-US" w:eastAsia="zh-CN"/>
        </w:rPr>
        <w:t>0</w:t>
      </w:r>
      <w:r>
        <w:rPr>
          <w:rFonts w:hint="eastAsia" w:ascii="仿宋" w:hAnsi="仿宋" w:eastAsia="仿宋"/>
          <w:sz w:val="30"/>
          <w:szCs w:val="30"/>
        </w:rPr>
        <w:t>人；年末学生人数</w:t>
      </w:r>
      <w:r>
        <w:rPr>
          <w:rFonts w:hint="eastAsia" w:ascii="仿宋" w:hAnsi="仿宋" w:eastAsia="仿宋"/>
          <w:sz w:val="30"/>
          <w:szCs w:val="30"/>
          <w:lang w:val="en-US" w:eastAsia="zh-CN"/>
        </w:rPr>
        <w:t>0</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_GB2312" w:hAnsi="仿宋_GB2312" w:eastAsia="仿宋_GB2312"/>
          <w:color w:val="auto"/>
          <w:sz w:val="30"/>
          <w:szCs w:val="30"/>
        </w:rPr>
        <w:t>由养老保险基金发放养老金的离退休人员</w:t>
      </w:r>
      <w:r>
        <w:rPr>
          <w:rFonts w:hint="eastAsia" w:ascii="仿宋_GB2312" w:hAnsi="仿宋_GB2312" w:eastAsia="仿宋_GB2312"/>
          <w:color w:val="auto"/>
          <w:sz w:val="30"/>
          <w:szCs w:val="30"/>
          <w:lang w:val="en-US" w:eastAsia="zh-CN"/>
        </w:rPr>
        <w:t>0</w:t>
      </w:r>
      <w:r>
        <w:rPr>
          <w:rFonts w:hint="eastAsia" w:ascii="仿宋_GB2312" w:hAnsi="仿宋_GB2312" w:eastAsia="仿宋_GB2312"/>
          <w:color w:val="auto"/>
          <w:sz w:val="30"/>
          <w:szCs w:val="30"/>
        </w:rPr>
        <w:t>人</w:t>
      </w:r>
      <w:r>
        <w:rPr>
          <w:rFonts w:hint="eastAsia" w:ascii="仿宋_GB2312" w:hAnsi="仿宋_GB2312" w:eastAsia="仿宋_GB2312"/>
          <w:color w:val="auto"/>
          <w:sz w:val="30"/>
          <w:szCs w:val="30"/>
          <w:lang w:eastAsia="zh-CN"/>
        </w:rPr>
        <w:t>。</w:t>
      </w:r>
    </w:p>
    <w:p w14:paraId="03978F6F">
      <w:pPr>
        <w:ind w:firstLine="630"/>
        <w:jc w:val="left"/>
        <w:rPr>
          <w:rFonts w:hint="eastAsia" w:ascii="仿宋" w:hAnsi="仿宋" w:eastAsia="仿宋"/>
          <w:sz w:val="30"/>
          <w:szCs w:val="30"/>
          <w:lang w:val="en-US" w:eastAsia="zh-CN"/>
        </w:rPr>
      </w:pPr>
    </w:p>
    <w:p w14:paraId="4D15EBB9">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eastAsia="zh-CN"/>
        </w:rPr>
        <w:t>2021</w:t>
      </w:r>
      <w:r>
        <w:rPr>
          <w:rFonts w:hint="eastAsia" w:ascii="宋体" w:hAnsi="宋体"/>
          <w:b/>
          <w:sz w:val="32"/>
          <w:szCs w:val="32"/>
        </w:rPr>
        <w:t>年度部门决算表</w:t>
      </w:r>
    </w:p>
    <w:p w14:paraId="69FAAF3E">
      <w:pPr>
        <w:widowControl/>
        <w:numPr>
          <w:ilvl w:val="0"/>
          <w:numId w:val="0"/>
        </w:numPr>
        <w:spacing w:line="600" w:lineRule="exact"/>
        <w:jc w:val="both"/>
        <w:rPr>
          <w:rFonts w:hint="eastAsia" w:ascii="宋体" w:hAnsi="宋体"/>
          <w:b/>
          <w:sz w:val="32"/>
          <w:szCs w:val="32"/>
        </w:rPr>
      </w:pPr>
    </w:p>
    <w:p w14:paraId="55447B98">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73040" cy="5299075"/>
            <wp:effectExtent l="0" t="0" r="3810" b="15875"/>
            <wp:docPr id="9" name="图片 9" descr="166415912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64159121995"/>
                    <pic:cNvPicPr>
                      <a:picLocks noChangeAspect="1"/>
                    </pic:cNvPicPr>
                  </pic:nvPicPr>
                  <pic:blipFill>
                    <a:blip r:embed="rId4"/>
                    <a:stretch>
                      <a:fillRect/>
                    </a:stretch>
                  </pic:blipFill>
                  <pic:spPr>
                    <a:xfrm>
                      <a:off x="0" y="0"/>
                      <a:ext cx="5273040" cy="5299075"/>
                    </a:xfrm>
                    <a:prstGeom prst="rect">
                      <a:avLst/>
                    </a:prstGeom>
                  </pic:spPr>
                </pic:pic>
              </a:graphicData>
            </a:graphic>
          </wp:inline>
        </w:drawing>
      </w:r>
    </w:p>
    <w:p w14:paraId="4CDBA5CC">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68595" cy="3104515"/>
            <wp:effectExtent l="0" t="0" r="8255" b="635"/>
            <wp:docPr id="11" name="图片 11" descr="166415921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64159217269"/>
                    <pic:cNvPicPr>
                      <a:picLocks noChangeAspect="1"/>
                    </pic:cNvPicPr>
                  </pic:nvPicPr>
                  <pic:blipFill>
                    <a:blip r:embed="rId5"/>
                    <a:stretch>
                      <a:fillRect/>
                    </a:stretch>
                  </pic:blipFill>
                  <pic:spPr>
                    <a:xfrm>
                      <a:off x="0" y="0"/>
                      <a:ext cx="5268595" cy="3104515"/>
                    </a:xfrm>
                    <a:prstGeom prst="rect">
                      <a:avLst/>
                    </a:prstGeom>
                  </pic:spPr>
                </pic:pic>
              </a:graphicData>
            </a:graphic>
          </wp:inline>
        </w:drawing>
      </w:r>
    </w:p>
    <w:p w14:paraId="4B7F02A4">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70500" cy="4779645"/>
            <wp:effectExtent l="0" t="0" r="6350" b="1905"/>
            <wp:docPr id="12" name="图片 12" descr="166415927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64159275701"/>
                    <pic:cNvPicPr>
                      <a:picLocks noChangeAspect="1"/>
                    </pic:cNvPicPr>
                  </pic:nvPicPr>
                  <pic:blipFill>
                    <a:blip r:embed="rId6"/>
                    <a:stretch>
                      <a:fillRect/>
                    </a:stretch>
                  </pic:blipFill>
                  <pic:spPr>
                    <a:xfrm>
                      <a:off x="0" y="0"/>
                      <a:ext cx="5270500" cy="4779645"/>
                    </a:xfrm>
                    <a:prstGeom prst="rect">
                      <a:avLst/>
                    </a:prstGeom>
                  </pic:spPr>
                </pic:pic>
              </a:graphicData>
            </a:graphic>
          </wp:inline>
        </w:drawing>
      </w:r>
      <w:r>
        <w:rPr>
          <w:rFonts w:hint="eastAsia" w:eastAsia="宋体"/>
          <w:lang w:eastAsia="zh-CN"/>
        </w:rPr>
        <w:drawing>
          <wp:inline distT="0" distB="0" distL="114300" distR="114300">
            <wp:extent cx="5274310" cy="3855085"/>
            <wp:effectExtent l="0" t="0" r="2540" b="12065"/>
            <wp:docPr id="13" name="图片 13" descr="166415949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64159498179"/>
                    <pic:cNvPicPr>
                      <a:picLocks noChangeAspect="1"/>
                    </pic:cNvPicPr>
                  </pic:nvPicPr>
                  <pic:blipFill>
                    <a:blip r:embed="rId7"/>
                    <a:stretch>
                      <a:fillRect/>
                    </a:stretch>
                  </pic:blipFill>
                  <pic:spPr>
                    <a:xfrm>
                      <a:off x="0" y="0"/>
                      <a:ext cx="5274310" cy="3855085"/>
                    </a:xfrm>
                    <a:prstGeom prst="rect">
                      <a:avLst/>
                    </a:prstGeom>
                  </pic:spPr>
                </pic:pic>
              </a:graphicData>
            </a:graphic>
          </wp:inline>
        </w:drawing>
      </w:r>
    </w:p>
    <w:p w14:paraId="150F1792">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6640830"/>
            <wp:effectExtent l="0" t="0" r="7620" b="7620"/>
            <wp:docPr id="14" name="图片 14" descr="166415953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64159533065"/>
                    <pic:cNvPicPr>
                      <a:picLocks noChangeAspect="1"/>
                    </pic:cNvPicPr>
                  </pic:nvPicPr>
                  <pic:blipFill>
                    <a:blip r:embed="rId8"/>
                    <a:stretch>
                      <a:fillRect/>
                    </a:stretch>
                  </pic:blipFill>
                  <pic:spPr>
                    <a:xfrm>
                      <a:off x="0" y="0"/>
                      <a:ext cx="5269230" cy="6640830"/>
                    </a:xfrm>
                    <a:prstGeom prst="rect">
                      <a:avLst/>
                    </a:prstGeom>
                  </pic:spPr>
                </pic:pic>
              </a:graphicData>
            </a:graphic>
          </wp:inline>
        </w:drawing>
      </w:r>
      <w:r>
        <w:rPr>
          <w:rFonts w:hint="eastAsia" w:eastAsia="宋体"/>
          <w:szCs w:val="30"/>
          <w:lang w:eastAsia="zh-CN"/>
        </w:rPr>
        <w:drawing>
          <wp:inline distT="0" distB="0" distL="114300" distR="114300">
            <wp:extent cx="5266690" cy="8178800"/>
            <wp:effectExtent l="0" t="0" r="10160" b="12700"/>
            <wp:docPr id="16" name="图片 16" descr="166415955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64159555599"/>
                    <pic:cNvPicPr>
                      <a:picLocks noChangeAspect="1"/>
                    </pic:cNvPicPr>
                  </pic:nvPicPr>
                  <pic:blipFill>
                    <a:blip r:embed="rId9"/>
                    <a:stretch>
                      <a:fillRect/>
                    </a:stretch>
                  </pic:blipFill>
                  <pic:spPr>
                    <a:xfrm>
                      <a:off x="0" y="0"/>
                      <a:ext cx="5266690" cy="8178800"/>
                    </a:xfrm>
                    <a:prstGeom prst="rect">
                      <a:avLst/>
                    </a:prstGeom>
                  </pic:spPr>
                </pic:pic>
              </a:graphicData>
            </a:graphic>
          </wp:inline>
        </w:drawing>
      </w:r>
    </w:p>
    <w:p w14:paraId="5055E598">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4648835"/>
            <wp:effectExtent l="0" t="0" r="6350" b="18415"/>
            <wp:docPr id="17" name="图片 17" descr="166415957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64159579598"/>
                    <pic:cNvPicPr>
                      <a:picLocks noChangeAspect="1"/>
                    </pic:cNvPicPr>
                  </pic:nvPicPr>
                  <pic:blipFill>
                    <a:blip r:embed="rId10"/>
                    <a:stretch>
                      <a:fillRect/>
                    </a:stretch>
                  </pic:blipFill>
                  <pic:spPr>
                    <a:xfrm>
                      <a:off x="0" y="0"/>
                      <a:ext cx="5270500" cy="4648835"/>
                    </a:xfrm>
                    <a:prstGeom prst="rect">
                      <a:avLst/>
                    </a:prstGeom>
                  </pic:spPr>
                </pic:pic>
              </a:graphicData>
            </a:graphic>
          </wp:inline>
        </w:drawing>
      </w:r>
    </w:p>
    <w:p w14:paraId="67068215">
      <w:pPr>
        <w:pStyle w:val="2"/>
        <w:rPr>
          <w:rFonts w:hint="eastAsia" w:eastAsia="宋体"/>
          <w:szCs w:val="30"/>
          <w:lang w:eastAsia="zh-CN"/>
        </w:rPr>
      </w:pPr>
    </w:p>
    <w:p w14:paraId="6B30BA92">
      <w:pPr>
        <w:pStyle w:val="2"/>
        <w:rPr>
          <w:rFonts w:hint="eastAsia" w:eastAsia="宋体"/>
          <w:szCs w:val="30"/>
          <w:lang w:eastAsia="zh-CN"/>
        </w:rPr>
      </w:pPr>
    </w:p>
    <w:p w14:paraId="42B92C01">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6690" cy="1831340"/>
            <wp:effectExtent l="0" t="0" r="10160" b="16510"/>
            <wp:docPr id="18" name="图片 18" descr="1664159637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4159637884"/>
                    <pic:cNvPicPr>
                      <a:picLocks noChangeAspect="1"/>
                    </pic:cNvPicPr>
                  </pic:nvPicPr>
                  <pic:blipFill>
                    <a:blip r:embed="rId11"/>
                    <a:stretch>
                      <a:fillRect/>
                    </a:stretch>
                  </pic:blipFill>
                  <pic:spPr>
                    <a:xfrm>
                      <a:off x="0" y="0"/>
                      <a:ext cx="5266690" cy="1831340"/>
                    </a:xfrm>
                    <a:prstGeom prst="rect">
                      <a:avLst/>
                    </a:prstGeom>
                  </pic:spPr>
                </pic:pic>
              </a:graphicData>
            </a:graphic>
          </wp:inline>
        </w:drawing>
      </w:r>
    </w:p>
    <w:p w14:paraId="0D4AB735">
      <w:pPr>
        <w:pStyle w:val="2"/>
        <w:rPr>
          <w:rFonts w:hint="eastAsia"/>
          <w:szCs w:val="30"/>
          <w:lang w:val="en-US" w:eastAsia="zh-CN"/>
        </w:rPr>
      </w:pPr>
      <w:r>
        <w:rPr>
          <w:rFonts w:hint="eastAsia"/>
          <w:szCs w:val="30"/>
          <w:lang w:eastAsia="zh-CN"/>
        </w:rPr>
        <w:t>说明：本</w:t>
      </w:r>
      <w:r>
        <w:rPr>
          <w:rFonts w:hint="eastAsia"/>
          <w:szCs w:val="30"/>
          <w:lang w:val="en-US" w:eastAsia="zh-CN"/>
        </w:rPr>
        <w:t>部门</w:t>
      </w:r>
      <w:r>
        <w:rPr>
          <w:rFonts w:hint="eastAsia"/>
          <w:szCs w:val="30"/>
          <w:lang w:eastAsia="zh-CN"/>
        </w:rPr>
        <w:t>无政府性基金预算财政拨款收入</w:t>
      </w:r>
      <w:r>
        <w:rPr>
          <w:rFonts w:hint="eastAsia"/>
          <w:szCs w:val="30"/>
          <w:lang w:val="en-US" w:eastAsia="zh-CN"/>
        </w:rPr>
        <w:t>支出情况</w:t>
      </w:r>
    </w:p>
    <w:p w14:paraId="3D59C486">
      <w:pPr>
        <w:pStyle w:val="2"/>
        <w:rPr>
          <w:rFonts w:hint="eastAsia"/>
          <w:szCs w:val="30"/>
          <w:lang w:val="en-US" w:eastAsia="zh-CN"/>
        </w:rPr>
      </w:pPr>
    </w:p>
    <w:p w14:paraId="6D3C1D88">
      <w:pPr>
        <w:pStyle w:val="2"/>
        <w:rPr>
          <w:rFonts w:hint="eastAsia"/>
          <w:lang w:eastAsia="zh-CN"/>
        </w:rPr>
      </w:pPr>
    </w:p>
    <w:p w14:paraId="29A23A6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2405" cy="2749550"/>
            <wp:effectExtent l="0" t="0" r="4445" b="12700"/>
            <wp:docPr id="19" name="图片 19" descr="166415969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4159695308"/>
                    <pic:cNvPicPr>
                      <a:picLocks noChangeAspect="1"/>
                    </pic:cNvPicPr>
                  </pic:nvPicPr>
                  <pic:blipFill>
                    <a:blip r:embed="rId12"/>
                    <a:stretch>
                      <a:fillRect/>
                    </a:stretch>
                  </pic:blipFill>
                  <pic:spPr>
                    <a:xfrm>
                      <a:off x="0" y="0"/>
                      <a:ext cx="5272405" cy="2749550"/>
                    </a:xfrm>
                    <a:prstGeom prst="rect">
                      <a:avLst/>
                    </a:prstGeom>
                  </pic:spPr>
                </pic:pic>
              </a:graphicData>
            </a:graphic>
          </wp:inline>
        </w:drawing>
      </w:r>
    </w:p>
    <w:p w14:paraId="34DA6956">
      <w:pPr>
        <w:autoSpaceDE w:val="0"/>
        <w:autoSpaceDN w:val="0"/>
        <w:adjustRightInd w:val="0"/>
        <w:spacing w:line="360" w:lineRule="auto"/>
        <w:jc w:val="left"/>
        <w:rPr>
          <w:rFonts w:hint="eastAsia"/>
          <w:szCs w:val="22"/>
          <w:lang w:val="en-US" w:eastAsia="zh-CN"/>
        </w:rPr>
      </w:pPr>
      <w:r>
        <w:rPr>
          <w:rFonts w:hint="eastAsia"/>
          <w:szCs w:val="22"/>
          <w:lang w:eastAsia="zh-CN"/>
        </w:rPr>
        <w:t>说明：本</w:t>
      </w:r>
      <w:r>
        <w:rPr>
          <w:rFonts w:hint="eastAsia"/>
          <w:szCs w:val="22"/>
          <w:lang w:val="en-US" w:eastAsia="zh-CN"/>
        </w:rPr>
        <w:t>部门</w:t>
      </w:r>
      <w:r>
        <w:rPr>
          <w:rFonts w:hint="eastAsia"/>
          <w:szCs w:val="22"/>
          <w:lang w:eastAsia="zh-CN"/>
        </w:rPr>
        <w:t>无国有资本经营预算财政拨款支出</w:t>
      </w:r>
      <w:r>
        <w:rPr>
          <w:rFonts w:hint="eastAsia"/>
          <w:szCs w:val="22"/>
          <w:lang w:val="en-US" w:eastAsia="zh-CN"/>
        </w:rPr>
        <w:t>情况</w:t>
      </w:r>
    </w:p>
    <w:p w14:paraId="1AD957C8">
      <w:pPr>
        <w:pStyle w:val="2"/>
        <w:rPr>
          <w:rFonts w:hint="eastAsia"/>
          <w:lang w:eastAsia="zh-CN"/>
        </w:rPr>
      </w:pPr>
    </w:p>
    <w:p w14:paraId="247495DF">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3227705"/>
            <wp:effectExtent l="0" t="0" r="7620" b="10795"/>
            <wp:docPr id="20" name="图片 20" descr="166415971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4159717865"/>
                    <pic:cNvPicPr>
                      <a:picLocks noChangeAspect="1"/>
                    </pic:cNvPicPr>
                  </pic:nvPicPr>
                  <pic:blipFill>
                    <a:blip r:embed="rId13"/>
                    <a:stretch>
                      <a:fillRect/>
                    </a:stretch>
                  </pic:blipFill>
                  <pic:spPr>
                    <a:xfrm>
                      <a:off x="0" y="0"/>
                      <a:ext cx="5269230" cy="3227705"/>
                    </a:xfrm>
                    <a:prstGeom prst="rect">
                      <a:avLst/>
                    </a:prstGeom>
                  </pic:spPr>
                </pic:pic>
              </a:graphicData>
            </a:graphic>
          </wp:inline>
        </w:drawing>
      </w:r>
    </w:p>
    <w:p w14:paraId="7A1246D1">
      <w:pPr>
        <w:autoSpaceDE w:val="0"/>
        <w:autoSpaceDN w:val="0"/>
        <w:adjustRightInd w:val="0"/>
        <w:spacing w:line="360" w:lineRule="auto"/>
        <w:jc w:val="center"/>
        <w:rPr>
          <w:rFonts w:hint="eastAsia" w:ascii="宋体" w:hAnsi="宋体"/>
          <w:b/>
          <w:sz w:val="32"/>
          <w:szCs w:val="32"/>
        </w:rPr>
      </w:pPr>
    </w:p>
    <w:p w14:paraId="20808434">
      <w:pPr>
        <w:widowControl/>
        <w:spacing w:line="600" w:lineRule="exact"/>
        <w:ind w:firstLine="640"/>
        <w:jc w:val="center"/>
        <w:rPr>
          <w:rFonts w:hint="eastAsia" w:ascii="宋体" w:hAnsi="宋体"/>
          <w:b/>
          <w:sz w:val="32"/>
          <w:szCs w:val="32"/>
        </w:rPr>
      </w:pPr>
      <w:r>
        <w:rPr>
          <w:rFonts w:hint="eastAsia" w:ascii="宋体" w:hAnsi="宋体"/>
          <w:b/>
          <w:sz w:val="32"/>
          <w:szCs w:val="32"/>
        </w:rPr>
        <w:t xml:space="preserve">第三部分  </w:t>
      </w:r>
      <w:r>
        <w:rPr>
          <w:rFonts w:hint="eastAsia" w:ascii="宋体" w:hAnsi="宋体"/>
          <w:b/>
          <w:sz w:val="32"/>
          <w:szCs w:val="32"/>
          <w:lang w:eastAsia="zh-CN"/>
        </w:rPr>
        <w:t>2021</w:t>
      </w:r>
      <w:r>
        <w:rPr>
          <w:rFonts w:hint="eastAsia" w:ascii="宋体" w:hAnsi="宋体"/>
          <w:b/>
          <w:sz w:val="32"/>
          <w:szCs w:val="32"/>
        </w:rPr>
        <w:t>年度部门决算情况说明</w:t>
      </w:r>
    </w:p>
    <w:p w14:paraId="7F90685F">
      <w:pPr>
        <w:ind w:firstLine="630"/>
        <w:jc w:val="left"/>
        <w:rPr>
          <w:rFonts w:hint="eastAsia" w:ascii="仿宋" w:hAnsi="仿宋" w:eastAsia="仿宋"/>
          <w:sz w:val="30"/>
          <w:szCs w:val="30"/>
        </w:rPr>
      </w:pPr>
    </w:p>
    <w:p w14:paraId="2F17F194">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BF0E91C">
      <w:pPr>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年度收入总计</w:t>
      </w:r>
      <w:r>
        <w:rPr>
          <w:rFonts w:hint="eastAsia" w:ascii="仿宋" w:hAnsi="仿宋" w:eastAsia="仿宋"/>
          <w:sz w:val="30"/>
          <w:szCs w:val="30"/>
          <w:lang w:val="en-US" w:eastAsia="zh-CN"/>
        </w:rPr>
        <w:t>3596.51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2245.66</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年增加</w:t>
      </w:r>
      <w:r>
        <w:rPr>
          <w:rFonts w:hint="eastAsia" w:ascii="仿宋" w:hAnsi="仿宋" w:eastAsia="仿宋"/>
          <w:sz w:val="30"/>
          <w:szCs w:val="30"/>
          <w:lang w:val="en-US" w:eastAsia="zh-CN"/>
        </w:rPr>
        <w:t>121.5</w:t>
      </w:r>
      <w:r>
        <w:rPr>
          <w:rFonts w:hint="eastAsia" w:ascii="仿宋" w:hAnsi="仿宋" w:eastAsia="仿宋"/>
          <w:sz w:val="30"/>
          <w:szCs w:val="30"/>
        </w:rPr>
        <w:t>万元；本年收入合计</w:t>
      </w:r>
      <w:r>
        <w:rPr>
          <w:rFonts w:hint="eastAsia" w:ascii="仿宋" w:hAnsi="仿宋" w:eastAsia="仿宋"/>
          <w:sz w:val="30"/>
          <w:szCs w:val="30"/>
          <w:lang w:val="en-US" w:eastAsia="zh-CN"/>
        </w:rPr>
        <w:t>1350.85</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减少4513.3</w:t>
      </w:r>
      <w:r>
        <w:rPr>
          <w:rFonts w:hint="eastAsia" w:ascii="仿宋" w:hAnsi="仿宋" w:eastAsia="仿宋"/>
          <w:sz w:val="30"/>
          <w:szCs w:val="30"/>
        </w:rPr>
        <w:t>万元，</w:t>
      </w:r>
      <w:r>
        <w:rPr>
          <w:rFonts w:hint="eastAsia" w:ascii="仿宋" w:hAnsi="仿宋" w:eastAsia="仿宋"/>
          <w:sz w:val="30"/>
          <w:szCs w:val="30"/>
          <w:lang w:val="en-US" w:eastAsia="zh-CN"/>
        </w:rPr>
        <w:t>下降76.96</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预算一体化改革，收入中核减上年结余。</w:t>
      </w:r>
    </w:p>
    <w:p w14:paraId="7482B1F0">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1136.89</w:t>
      </w:r>
      <w:r>
        <w:rPr>
          <w:rFonts w:hint="eastAsia" w:ascii="仿宋" w:hAnsi="仿宋" w:eastAsia="仿宋"/>
          <w:sz w:val="30"/>
          <w:szCs w:val="30"/>
        </w:rPr>
        <w:t>万元，占</w:t>
      </w:r>
      <w:r>
        <w:rPr>
          <w:rFonts w:hint="eastAsia" w:ascii="仿宋" w:hAnsi="仿宋" w:eastAsia="仿宋"/>
          <w:sz w:val="30"/>
          <w:szCs w:val="30"/>
          <w:lang w:val="en-US" w:eastAsia="zh-CN"/>
        </w:rPr>
        <w:t>84.16</w:t>
      </w:r>
      <w:r>
        <w:rPr>
          <w:rFonts w:hint="eastAsia" w:ascii="仿宋" w:hAnsi="仿宋" w:eastAsia="仿宋"/>
          <w:sz w:val="30"/>
          <w:szCs w:val="30"/>
        </w:rPr>
        <w:t>%；事业收入</w:t>
      </w:r>
      <w:r>
        <w:rPr>
          <w:rFonts w:hint="eastAsia" w:ascii="仿宋" w:hAnsi="仿宋" w:eastAsia="仿宋"/>
          <w:sz w:val="30"/>
          <w:szCs w:val="30"/>
          <w:lang w:val="en-US" w:eastAsia="zh-CN"/>
        </w:rPr>
        <w:t>0万</w:t>
      </w:r>
      <w:r>
        <w:rPr>
          <w:rFonts w:hint="eastAsia" w:ascii="仿宋" w:hAnsi="仿宋" w:eastAsia="仿宋"/>
          <w:sz w:val="30"/>
          <w:szCs w:val="30"/>
        </w:rPr>
        <w:t>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213.96</w:t>
      </w:r>
      <w:r>
        <w:rPr>
          <w:rFonts w:hint="eastAsia" w:ascii="仿宋" w:hAnsi="仿宋" w:eastAsia="仿宋"/>
          <w:sz w:val="30"/>
          <w:szCs w:val="30"/>
        </w:rPr>
        <w:t>万元，占</w:t>
      </w:r>
      <w:r>
        <w:rPr>
          <w:rFonts w:hint="eastAsia" w:ascii="仿宋" w:hAnsi="仿宋" w:eastAsia="仿宋"/>
          <w:sz w:val="30"/>
          <w:szCs w:val="30"/>
          <w:lang w:val="en-US" w:eastAsia="zh-CN"/>
        </w:rPr>
        <w:t>15.84</w:t>
      </w:r>
      <w:r>
        <w:rPr>
          <w:rFonts w:hint="eastAsia" w:ascii="仿宋" w:hAnsi="仿宋" w:eastAsia="仿宋"/>
          <w:sz w:val="30"/>
          <w:szCs w:val="30"/>
        </w:rPr>
        <w:t xml:space="preserve">%。  </w:t>
      </w:r>
    </w:p>
    <w:p w14:paraId="41229C58">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3F4949E">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年度支出总计</w:t>
      </w:r>
      <w:r>
        <w:rPr>
          <w:rFonts w:hint="eastAsia" w:ascii="仿宋" w:hAnsi="仿宋" w:eastAsia="仿宋"/>
          <w:sz w:val="30"/>
          <w:szCs w:val="30"/>
          <w:lang w:val="en-US" w:eastAsia="zh-CN"/>
        </w:rPr>
        <w:t>3596.51</w:t>
      </w:r>
      <w:r>
        <w:rPr>
          <w:rFonts w:hint="eastAsia" w:ascii="仿宋" w:hAnsi="仿宋" w:eastAsia="仿宋"/>
          <w:sz w:val="30"/>
          <w:szCs w:val="30"/>
        </w:rPr>
        <w:t>元，其中本年支出合计</w:t>
      </w:r>
      <w:r>
        <w:rPr>
          <w:rFonts w:hint="eastAsia" w:ascii="仿宋" w:hAnsi="仿宋" w:eastAsia="仿宋"/>
          <w:sz w:val="30"/>
          <w:szCs w:val="30"/>
          <w:lang w:val="en-US" w:eastAsia="zh-CN"/>
        </w:rPr>
        <w:t>3459.86</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减少2366.28</w:t>
      </w:r>
      <w:r>
        <w:rPr>
          <w:rFonts w:hint="eastAsia" w:ascii="仿宋" w:hAnsi="仿宋" w:eastAsia="仿宋"/>
          <w:sz w:val="30"/>
          <w:szCs w:val="30"/>
        </w:rPr>
        <w:t>万元，</w:t>
      </w:r>
      <w:r>
        <w:rPr>
          <w:rFonts w:hint="eastAsia" w:ascii="仿宋" w:hAnsi="仿宋" w:eastAsia="仿宋"/>
          <w:sz w:val="30"/>
          <w:szCs w:val="30"/>
          <w:lang w:val="en-US" w:eastAsia="zh-CN"/>
        </w:rPr>
        <w:t>减少40.61</w:t>
      </w:r>
      <w:r>
        <w:rPr>
          <w:rFonts w:hint="eastAsia" w:ascii="仿宋" w:hAnsi="仿宋" w:eastAsia="仿宋"/>
          <w:sz w:val="30"/>
          <w:szCs w:val="30"/>
        </w:rPr>
        <w:t>%，主要原因是：</w:t>
      </w:r>
      <w:r>
        <w:rPr>
          <w:rFonts w:hint="eastAsia" w:ascii="仿宋" w:hAnsi="仿宋" w:eastAsia="仿宋"/>
          <w:sz w:val="30"/>
          <w:szCs w:val="30"/>
          <w:lang w:val="en-US" w:eastAsia="zh-CN"/>
        </w:rPr>
        <w:t>景德镇市退役军人事务局本级项目支出减少</w:t>
      </w:r>
      <w:r>
        <w:rPr>
          <w:rFonts w:hint="eastAsia" w:ascii="仿宋" w:hAnsi="仿宋" w:eastAsia="仿宋"/>
          <w:sz w:val="30"/>
          <w:szCs w:val="30"/>
        </w:rPr>
        <w:t>；年末结转和结余</w:t>
      </w:r>
      <w:r>
        <w:rPr>
          <w:rFonts w:hint="eastAsia" w:ascii="仿宋" w:hAnsi="仿宋" w:eastAsia="仿宋"/>
          <w:sz w:val="30"/>
          <w:szCs w:val="30"/>
          <w:lang w:val="en-US" w:eastAsia="zh-CN"/>
        </w:rPr>
        <w:t>136.65</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减少2009.5</w:t>
      </w:r>
      <w:r>
        <w:rPr>
          <w:rFonts w:hint="eastAsia" w:ascii="仿宋" w:hAnsi="仿宋" w:eastAsia="仿宋"/>
          <w:sz w:val="30"/>
          <w:szCs w:val="30"/>
        </w:rPr>
        <w:t>万元，</w:t>
      </w:r>
      <w:r>
        <w:rPr>
          <w:rFonts w:hint="eastAsia" w:ascii="仿宋" w:hAnsi="仿宋" w:eastAsia="仿宋"/>
          <w:sz w:val="30"/>
          <w:szCs w:val="30"/>
          <w:lang w:val="en-US" w:eastAsia="zh-CN"/>
        </w:rPr>
        <w:t>减少93.63</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预算一体化改革，不再使用权责发生制，结余减少</w:t>
      </w:r>
      <w:r>
        <w:rPr>
          <w:rFonts w:hint="eastAsia" w:ascii="仿宋" w:hAnsi="仿宋" w:eastAsia="仿宋"/>
          <w:sz w:val="30"/>
          <w:szCs w:val="30"/>
        </w:rPr>
        <w:t>。</w:t>
      </w:r>
    </w:p>
    <w:p w14:paraId="1D2952D0">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1064.18</w:t>
      </w:r>
      <w:r>
        <w:rPr>
          <w:rFonts w:hint="eastAsia" w:ascii="仿宋" w:hAnsi="仿宋" w:eastAsia="仿宋"/>
          <w:sz w:val="30"/>
          <w:szCs w:val="30"/>
        </w:rPr>
        <w:t>万元，占</w:t>
      </w:r>
      <w:r>
        <w:rPr>
          <w:rFonts w:hint="eastAsia" w:ascii="仿宋" w:hAnsi="仿宋" w:eastAsia="仿宋"/>
          <w:sz w:val="30"/>
          <w:szCs w:val="30"/>
          <w:lang w:val="en-US" w:eastAsia="zh-CN"/>
        </w:rPr>
        <w:t>30.76</w:t>
      </w:r>
      <w:r>
        <w:rPr>
          <w:rFonts w:hint="eastAsia" w:ascii="仿宋" w:hAnsi="仿宋" w:eastAsia="仿宋"/>
          <w:sz w:val="30"/>
          <w:szCs w:val="30"/>
        </w:rPr>
        <w:t>%；项目支出</w:t>
      </w:r>
      <w:r>
        <w:rPr>
          <w:rFonts w:hint="eastAsia" w:ascii="仿宋" w:hAnsi="仿宋" w:eastAsia="仿宋"/>
          <w:sz w:val="30"/>
          <w:szCs w:val="30"/>
          <w:lang w:val="en-US" w:eastAsia="zh-CN"/>
        </w:rPr>
        <w:t>2395.67</w:t>
      </w:r>
      <w:r>
        <w:rPr>
          <w:rFonts w:hint="eastAsia" w:ascii="仿宋" w:hAnsi="仿宋" w:eastAsia="仿宋"/>
          <w:sz w:val="30"/>
          <w:szCs w:val="30"/>
        </w:rPr>
        <w:t>万元，占</w:t>
      </w:r>
      <w:r>
        <w:rPr>
          <w:rFonts w:hint="eastAsia" w:ascii="仿宋" w:hAnsi="仿宋" w:eastAsia="仿宋"/>
          <w:sz w:val="30"/>
          <w:szCs w:val="30"/>
          <w:lang w:val="en-US" w:eastAsia="zh-CN"/>
        </w:rPr>
        <w:t>69.24</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090579C1">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4A60EA25">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1060.18</w:t>
      </w:r>
      <w:r>
        <w:rPr>
          <w:rFonts w:hint="eastAsia" w:ascii="仿宋" w:hAnsi="仿宋" w:eastAsia="仿宋"/>
          <w:sz w:val="30"/>
          <w:szCs w:val="30"/>
        </w:rPr>
        <w:t>万元，决算数为</w:t>
      </w:r>
      <w:r>
        <w:rPr>
          <w:rFonts w:hint="eastAsia" w:ascii="仿宋" w:hAnsi="仿宋" w:eastAsia="仿宋"/>
          <w:sz w:val="30"/>
          <w:szCs w:val="30"/>
          <w:lang w:val="en-US" w:eastAsia="zh-CN"/>
        </w:rPr>
        <w:t>3277.62</w:t>
      </w:r>
      <w:r>
        <w:rPr>
          <w:rFonts w:hint="eastAsia" w:ascii="仿宋" w:hAnsi="仿宋" w:eastAsia="仿宋"/>
          <w:sz w:val="30"/>
          <w:szCs w:val="30"/>
        </w:rPr>
        <w:t>万元，完成年初预算的</w:t>
      </w:r>
      <w:r>
        <w:rPr>
          <w:rFonts w:hint="eastAsia" w:ascii="仿宋" w:hAnsi="仿宋" w:eastAsia="仿宋"/>
          <w:sz w:val="30"/>
          <w:szCs w:val="30"/>
          <w:lang w:val="en-US" w:eastAsia="zh-CN"/>
        </w:rPr>
        <w:t>309.16</w:t>
      </w:r>
      <w:r>
        <w:rPr>
          <w:rFonts w:hint="eastAsia" w:ascii="仿宋" w:hAnsi="仿宋" w:eastAsia="仿宋"/>
          <w:sz w:val="30"/>
          <w:szCs w:val="30"/>
        </w:rPr>
        <w:t>%。其中：</w:t>
      </w:r>
    </w:p>
    <w:p w14:paraId="16A90FC7">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975.69</w:t>
      </w:r>
      <w:r>
        <w:rPr>
          <w:rFonts w:hint="eastAsia" w:ascii="仿宋" w:hAnsi="仿宋" w:eastAsia="仿宋"/>
          <w:sz w:val="30"/>
          <w:szCs w:val="30"/>
        </w:rPr>
        <w:t>万元，决算数为</w:t>
      </w:r>
      <w:r>
        <w:rPr>
          <w:rFonts w:hint="eastAsia" w:ascii="仿宋" w:hAnsi="仿宋" w:eastAsia="仿宋"/>
          <w:sz w:val="30"/>
          <w:szCs w:val="30"/>
          <w:lang w:val="en-US" w:eastAsia="zh-CN"/>
        </w:rPr>
        <w:t>3127.57</w:t>
      </w:r>
      <w:r>
        <w:rPr>
          <w:rFonts w:hint="eastAsia" w:ascii="仿宋" w:hAnsi="仿宋" w:eastAsia="仿宋"/>
          <w:sz w:val="30"/>
          <w:szCs w:val="30"/>
        </w:rPr>
        <w:t>万元，完成年初预算的</w:t>
      </w:r>
      <w:r>
        <w:rPr>
          <w:rFonts w:hint="eastAsia" w:ascii="仿宋" w:hAnsi="仿宋" w:eastAsia="仿宋"/>
          <w:sz w:val="30"/>
          <w:szCs w:val="30"/>
          <w:lang w:val="en-US" w:eastAsia="zh-CN"/>
        </w:rPr>
        <w:t>320.55</w:t>
      </w:r>
      <w:r>
        <w:rPr>
          <w:rFonts w:hint="eastAsia" w:ascii="仿宋" w:hAnsi="仿宋" w:eastAsia="仿宋"/>
          <w:sz w:val="30"/>
          <w:szCs w:val="30"/>
        </w:rPr>
        <w:t>%，主要原因是：</w:t>
      </w:r>
      <w:r>
        <w:rPr>
          <w:rFonts w:hint="eastAsia" w:ascii="仿宋" w:hAnsi="仿宋" w:eastAsia="仿宋"/>
          <w:sz w:val="30"/>
          <w:szCs w:val="30"/>
          <w:lang w:val="en-US" w:eastAsia="zh-CN"/>
        </w:rPr>
        <w:t>景德镇市退役军人事务局本级新增退役士兵社保接续、部分企业军队退役人员生活补助等专项支出。</w:t>
      </w:r>
    </w:p>
    <w:p w14:paraId="1A7F9622">
      <w:pPr>
        <w:ind w:firstLine="630"/>
        <w:jc w:val="left"/>
        <w:rPr>
          <w:rFonts w:hint="default" w:ascii="仿宋" w:hAnsi="仿宋" w:eastAsia="仿宋"/>
          <w:sz w:val="30"/>
          <w:szCs w:val="30"/>
          <w:lang w:val="en-US" w:eastAsia="zh-CN"/>
        </w:rPr>
      </w:pPr>
      <w:r>
        <w:rPr>
          <w:rFonts w:hint="eastAsia" w:ascii="仿宋" w:hAnsi="仿宋" w:eastAsia="仿宋"/>
          <w:sz w:val="30"/>
          <w:szCs w:val="30"/>
        </w:rPr>
        <w:t>（</w:t>
      </w:r>
      <w:r>
        <w:rPr>
          <w:rFonts w:hint="eastAsia" w:ascii="仿宋" w:hAnsi="仿宋" w:eastAsia="仿宋"/>
          <w:sz w:val="30"/>
          <w:szCs w:val="30"/>
          <w:lang w:val="en-US" w:eastAsia="zh-CN"/>
        </w:rPr>
        <w:t>二</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37.47</w:t>
      </w:r>
      <w:r>
        <w:rPr>
          <w:rFonts w:hint="eastAsia" w:ascii="仿宋" w:hAnsi="仿宋" w:eastAsia="仿宋"/>
          <w:sz w:val="30"/>
          <w:szCs w:val="30"/>
        </w:rPr>
        <w:t>万元，决算数为</w:t>
      </w:r>
      <w:r>
        <w:rPr>
          <w:rFonts w:hint="eastAsia" w:ascii="仿宋" w:hAnsi="仿宋" w:eastAsia="仿宋"/>
          <w:sz w:val="30"/>
          <w:szCs w:val="30"/>
          <w:lang w:val="en-US" w:eastAsia="zh-CN"/>
        </w:rPr>
        <w:t>47.12</w:t>
      </w:r>
      <w:r>
        <w:rPr>
          <w:rFonts w:hint="eastAsia" w:ascii="仿宋" w:hAnsi="仿宋" w:eastAsia="仿宋"/>
          <w:sz w:val="30"/>
          <w:szCs w:val="30"/>
        </w:rPr>
        <w:t>万元，完成年初预算的</w:t>
      </w:r>
      <w:r>
        <w:rPr>
          <w:rFonts w:hint="eastAsia" w:ascii="仿宋" w:hAnsi="仿宋" w:eastAsia="仿宋"/>
          <w:sz w:val="30"/>
          <w:szCs w:val="30"/>
          <w:lang w:val="en-US" w:eastAsia="zh-CN"/>
        </w:rPr>
        <w:t>125.75</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主要原因是：景德镇市退役军人事务局本级新增优抚对象医疗补助支出。</w:t>
      </w:r>
    </w:p>
    <w:p w14:paraId="52419E42">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（三）住房保障支出年初预算数为47.02万元，决算数为44.39万元，完成年初预算的94.41%，主要原因是：景德镇市军队离休退休干部休养所人员调整。</w:t>
      </w:r>
    </w:p>
    <w:p w14:paraId="658F1976">
      <w:pPr>
        <w:pStyle w:val="2"/>
        <w:rPr>
          <w:rFonts w:hint="default"/>
          <w:lang w:val="en-US" w:eastAsia="zh-CN"/>
        </w:rPr>
      </w:pPr>
      <w:r>
        <w:rPr>
          <w:rFonts w:hint="eastAsia" w:ascii="仿宋" w:hAnsi="仿宋" w:eastAsia="仿宋"/>
          <w:sz w:val="30"/>
          <w:szCs w:val="30"/>
          <w:lang w:val="en-US" w:eastAsia="zh-CN"/>
        </w:rPr>
        <w:t xml:space="preserve">    （四）其他支出年初预算数为0万元，决算数为58.54万元，主要原因是：追加各单位普调工资等。</w:t>
      </w:r>
    </w:p>
    <w:p w14:paraId="69FA558B">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8F3341A">
      <w:pPr>
        <w:ind w:firstLine="585"/>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953.82</w:t>
      </w:r>
      <w:r>
        <w:rPr>
          <w:rFonts w:hint="eastAsia" w:ascii="仿宋" w:hAnsi="仿宋" w:eastAsia="仿宋"/>
          <w:sz w:val="30"/>
          <w:szCs w:val="30"/>
        </w:rPr>
        <w:t>万元，其中：</w:t>
      </w:r>
    </w:p>
    <w:p w14:paraId="053E5FEF">
      <w:pPr>
        <w:numPr>
          <w:ilvl w:val="0"/>
          <w:numId w:val="2"/>
        </w:numPr>
        <w:ind w:firstLine="585"/>
        <w:jc w:val="left"/>
        <w:rPr>
          <w:rFonts w:hint="eastAsia" w:ascii="仿宋" w:hAnsi="仿宋" w:eastAsia="仿宋"/>
          <w:sz w:val="30"/>
          <w:szCs w:val="30"/>
          <w:lang w:val="en-US" w:eastAsia="zh-CN"/>
        </w:rPr>
      </w:pPr>
      <w:r>
        <w:rPr>
          <w:rFonts w:hint="eastAsia" w:ascii="仿宋" w:hAnsi="仿宋" w:eastAsia="仿宋"/>
          <w:sz w:val="30"/>
          <w:szCs w:val="30"/>
        </w:rPr>
        <w:t>工资福利支出</w:t>
      </w:r>
      <w:r>
        <w:rPr>
          <w:rFonts w:hint="eastAsia" w:ascii="仿宋" w:hAnsi="仿宋" w:eastAsia="仿宋"/>
          <w:sz w:val="30"/>
          <w:szCs w:val="30"/>
          <w:lang w:val="en-US" w:eastAsia="zh-CN"/>
        </w:rPr>
        <w:t>785.54</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年增加</w:t>
      </w:r>
      <w:r>
        <w:rPr>
          <w:rFonts w:hint="eastAsia" w:ascii="仿宋" w:hAnsi="仿宋" w:eastAsia="仿宋"/>
          <w:sz w:val="30"/>
          <w:szCs w:val="30"/>
          <w:lang w:val="en-US" w:eastAsia="zh-CN"/>
        </w:rPr>
        <w:t>227.06</w:t>
      </w:r>
      <w:r>
        <w:rPr>
          <w:rFonts w:hint="eastAsia" w:ascii="仿宋" w:hAnsi="仿宋" w:eastAsia="仿宋"/>
          <w:sz w:val="30"/>
          <w:szCs w:val="30"/>
        </w:rPr>
        <w:t>万元，增长</w:t>
      </w:r>
      <w:r>
        <w:rPr>
          <w:rFonts w:hint="eastAsia" w:ascii="仿宋" w:hAnsi="仿宋" w:eastAsia="仿宋"/>
          <w:sz w:val="30"/>
          <w:szCs w:val="30"/>
          <w:lang w:val="en-US" w:eastAsia="zh-CN"/>
        </w:rPr>
        <w:t>40.66</w:t>
      </w:r>
      <w:r>
        <w:rPr>
          <w:rFonts w:hint="eastAsia" w:ascii="仿宋" w:hAnsi="仿宋" w:eastAsia="仿宋"/>
          <w:sz w:val="30"/>
          <w:szCs w:val="30"/>
        </w:rPr>
        <w:t>%，主要原因是：</w:t>
      </w:r>
      <w:r>
        <w:rPr>
          <w:rFonts w:hint="eastAsia" w:ascii="仿宋" w:hAnsi="仿宋" w:eastAsia="仿宋"/>
          <w:sz w:val="30"/>
          <w:szCs w:val="30"/>
          <w:lang w:val="en-US" w:eastAsia="zh-CN"/>
        </w:rPr>
        <w:t>各单位职工工资正常晋级晋档及普调工资。</w:t>
      </w:r>
    </w:p>
    <w:p w14:paraId="1AAE90AE">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157.86</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减少23.74</w:t>
      </w:r>
      <w:r>
        <w:rPr>
          <w:rFonts w:hint="eastAsia" w:ascii="仿宋" w:hAnsi="仿宋" w:eastAsia="仿宋"/>
          <w:sz w:val="30"/>
          <w:szCs w:val="30"/>
        </w:rPr>
        <w:t>万元，</w:t>
      </w:r>
      <w:r>
        <w:rPr>
          <w:rFonts w:hint="eastAsia" w:ascii="仿宋" w:hAnsi="仿宋" w:eastAsia="仿宋"/>
          <w:sz w:val="30"/>
          <w:szCs w:val="30"/>
          <w:lang w:val="en-US" w:eastAsia="zh-CN"/>
        </w:rPr>
        <w:t>下降13.07</w:t>
      </w:r>
      <w:r>
        <w:rPr>
          <w:rFonts w:hint="eastAsia" w:ascii="仿宋" w:hAnsi="仿宋" w:eastAsia="仿宋"/>
          <w:sz w:val="30"/>
          <w:szCs w:val="30"/>
        </w:rPr>
        <w:t>%，主要原因是：</w:t>
      </w:r>
      <w:r>
        <w:rPr>
          <w:rFonts w:hint="eastAsia" w:ascii="仿宋" w:hAnsi="仿宋" w:eastAsia="仿宋"/>
          <w:sz w:val="30"/>
          <w:szCs w:val="30"/>
          <w:lang w:val="en-US" w:eastAsia="zh-CN"/>
        </w:rPr>
        <w:t>缩减日常开支</w:t>
      </w:r>
      <w:r>
        <w:rPr>
          <w:rFonts w:hint="eastAsia" w:ascii="仿宋" w:hAnsi="仿宋" w:eastAsia="仿宋"/>
          <w:sz w:val="30"/>
          <w:szCs w:val="30"/>
        </w:rPr>
        <w:t>。</w:t>
      </w:r>
    </w:p>
    <w:p w14:paraId="718E9971">
      <w:pPr>
        <w:ind w:firstLine="585"/>
        <w:jc w:val="left"/>
        <w:rPr>
          <w:rFonts w:hint="eastAsia" w:ascii="仿宋" w:hAnsi="仿宋" w:eastAsia="仿宋"/>
          <w:sz w:val="30"/>
          <w:szCs w:val="30"/>
          <w:lang w:val="en-US" w:eastAsia="zh-CN"/>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10.42</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减少7.77</w:t>
      </w:r>
      <w:r>
        <w:rPr>
          <w:rFonts w:hint="eastAsia" w:ascii="仿宋" w:hAnsi="仿宋" w:eastAsia="仿宋"/>
          <w:sz w:val="30"/>
          <w:szCs w:val="30"/>
        </w:rPr>
        <w:t>万元，</w:t>
      </w:r>
      <w:r>
        <w:rPr>
          <w:rFonts w:hint="eastAsia" w:ascii="仿宋" w:hAnsi="仿宋" w:eastAsia="仿宋"/>
          <w:sz w:val="30"/>
          <w:szCs w:val="30"/>
          <w:lang w:val="en-US" w:eastAsia="zh-CN"/>
        </w:rPr>
        <w:t>下降42.72</w:t>
      </w:r>
      <w:r>
        <w:rPr>
          <w:rFonts w:hint="eastAsia" w:ascii="仿宋" w:hAnsi="仿宋" w:eastAsia="仿宋"/>
          <w:sz w:val="30"/>
          <w:szCs w:val="30"/>
        </w:rPr>
        <w:t>%，主要原因是：</w:t>
      </w:r>
      <w:r>
        <w:rPr>
          <w:rFonts w:hint="eastAsia" w:ascii="仿宋" w:hAnsi="仿宋" w:eastAsia="仿宋"/>
          <w:sz w:val="30"/>
          <w:szCs w:val="30"/>
          <w:lang w:val="en-US" w:eastAsia="zh-CN"/>
        </w:rPr>
        <w:t>景德镇军供站减少相关支出。</w:t>
      </w:r>
    </w:p>
    <w:p w14:paraId="537F372E">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减少13.53</w:t>
      </w:r>
      <w:r>
        <w:rPr>
          <w:rFonts w:hint="eastAsia" w:ascii="仿宋" w:hAnsi="仿宋" w:eastAsia="仿宋"/>
          <w:sz w:val="30"/>
          <w:szCs w:val="30"/>
        </w:rPr>
        <w:t>万元，</w:t>
      </w:r>
      <w:r>
        <w:rPr>
          <w:rFonts w:hint="eastAsia" w:ascii="仿宋" w:hAnsi="仿宋" w:eastAsia="仿宋"/>
          <w:sz w:val="30"/>
          <w:szCs w:val="30"/>
          <w:lang w:val="en-US" w:eastAsia="zh-CN"/>
        </w:rPr>
        <w:t>下降100%，</w:t>
      </w:r>
      <w:r>
        <w:rPr>
          <w:rFonts w:hint="eastAsia" w:ascii="仿宋" w:hAnsi="仿宋" w:eastAsia="仿宋"/>
          <w:sz w:val="30"/>
          <w:szCs w:val="30"/>
        </w:rPr>
        <w:t>主要原因是：</w:t>
      </w:r>
      <w:r>
        <w:rPr>
          <w:rFonts w:hint="eastAsia" w:ascii="仿宋" w:hAnsi="仿宋" w:eastAsia="仿宋"/>
          <w:sz w:val="30"/>
          <w:szCs w:val="30"/>
          <w:lang w:val="en-US" w:eastAsia="zh-CN"/>
        </w:rPr>
        <w:t>景德镇市军队离休退休干部休养所、景德镇军供站当年无资本性支出。</w:t>
      </w:r>
    </w:p>
    <w:p w14:paraId="7473019F">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441DBF95">
      <w:pPr>
        <w:ind w:firstLine="630"/>
        <w:jc w:val="left"/>
        <w:rPr>
          <w:rFonts w:hint="eastAsia" w:ascii="仿宋" w:hAnsi="仿宋" w:eastAsia="仿宋"/>
          <w:sz w:val="30"/>
          <w:szCs w:val="30"/>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7.65</w:t>
      </w:r>
      <w:r>
        <w:rPr>
          <w:rFonts w:hint="eastAsia" w:ascii="仿宋" w:hAnsi="仿宋" w:eastAsia="仿宋"/>
          <w:sz w:val="30"/>
          <w:szCs w:val="30"/>
        </w:rPr>
        <w:t>万元，决算数为</w:t>
      </w:r>
      <w:r>
        <w:rPr>
          <w:rFonts w:hint="eastAsia" w:ascii="仿宋" w:hAnsi="仿宋" w:eastAsia="仿宋"/>
          <w:sz w:val="30"/>
          <w:szCs w:val="30"/>
          <w:lang w:val="en-US" w:eastAsia="zh-CN"/>
        </w:rPr>
        <w:t>2.76</w:t>
      </w:r>
      <w:r>
        <w:rPr>
          <w:rFonts w:hint="eastAsia" w:ascii="仿宋" w:hAnsi="仿宋" w:eastAsia="仿宋"/>
          <w:sz w:val="30"/>
          <w:szCs w:val="30"/>
        </w:rPr>
        <w:t>万元，完成预算的</w:t>
      </w:r>
      <w:r>
        <w:rPr>
          <w:rFonts w:hint="eastAsia" w:ascii="仿宋" w:hAnsi="仿宋" w:eastAsia="仿宋"/>
          <w:sz w:val="30"/>
          <w:szCs w:val="30"/>
          <w:lang w:val="en-US" w:eastAsia="zh-CN"/>
        </w:rPr>
        <w:t>36.08</w:t>
      </w:r>
      <w:r>
        <w:rPr>
          <w:rFonts w:hint="eastAsia" w:ascii="仿宋" w:hAnsi="仿宋" w:eastAsia="仿宋"/>
          <w:sz w:val="30"/>
          <w:szCs w:val="30"/>
        </w:rPr>
        <w:t>%，决算数较</w:t>
      </w:r>
      <w:r>
        <w:rPr>
          <w:rFonts w:hint="eastAsia" w:ascii="仿宋" w:hAnsi="仿宋" w:eastAsia="仿宋"/>
          <w:sz w:val="30"/>
          <w:szCs w:val="30"/>
          <w:lang w:eastAsia="zh-CN"/>
        </w:rPr>
        <w:t>2020</w:t>
      </w:r>
      <w:r>
        <w:rPr>
          <w:rFonts w:hint="eastAsia" w:ascii="仿宋" w:hAnsi="仿宋" w:eastAsia="仿宋"/>
          <w:sz w:val="30"/>
          <w:szCs w:val="30"/>
        </w:rPr>
        <w:t>年</w:t>
      </w:r>
      <w:r>
        <w:rPr>
          <w:rFonts w:hint="eastAsia" w:ascii="仿宋" w:hAnsi="仿宋" w:eastAsia="仿宋"/>
          <w:sz w:val="30"/>
          <w:szCs w:val="30"/>
          <w:lang w:val="en-US" w:eastAsia="zh-CN"/>
        </w:rPr>
        <w:t>减少0.75</w:t>
      </w:r>
      <w:r>
        <w:rPr>
          <w:rFonts w:hint="eastAsia" w:ascii="仿宋" w:hAnsi="仿宋" w:eastAsia="仿宋"/>
          <w:sz w:val="30"/>
          <w:szCs w:val="30"/>
        </w:rPr>
        <w:t>万元，</w:t>
      </w:r>
      <w:r>
        <w:rPr>
          <w:rFonts w:hint="eastAsia" w:ascii="仿宋" w:hAnsi="仿宋" w:eastAsia="仿宋"/>
          <w:sz w:val="30"/>
          <w:szCs w:val="30"/>
          <w:lang w:val="en-US" w:eastAsia="zh-CN"/>
        </w:rPr>
        <w:t>下降21.37</w:t>
      </w:r>
      <w:r>
        <w:rPr>
          <w:rFonts w:hint="eastAsia" w:ascii="仿宋" w:hAnsi="仿宋" w:eastAsia="仿宋"/>
          <w:sz w:val="30"/>
          <w:szCs w:val="30"/>
        </w:rPr>
        <w:t>%，其中：</w:t>
      </w:r>
    </w:p>
    <w:p w14:paraId="6CDEAE99">
      <w:pPr>
        <w:ind w:firstLine="630"/>
        <w:jc w:val="left"/>
        <w:rPr>
          <w:rFonts w:hint="default" w:ascii="仿宋" w:hAnsi="仿宋" w:eastAsia="仿宋"/>
          <w:sz w:val="30"/>
          <w:szCs w:val="30"/>
          <w:lang w:val="en-US"/>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2020</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14:paraId="230A321C">
      <w:pPr>
        <w:ind w:firstLine="630"/>
        <w:jc w:val="left"/>
        <w:rPr>
          <w:rFonts w:hint="default" w:ascii="仿宋" w:hAnsi="仿宋" w:eastAsia="仿宋"/>
          <w:sz w:val="30"/>
          <w:szCs w:val="30"/>
          <w:lang w:val="en-US" w:eastAsia="zh-CN"/>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2.47</w:t>
      </w:r>
      <w:r>
        <w:rPr>
          <w:rFonts w:hint="eastAsia" w:ascii="仿宋" w:hAnsi="仿宋" w:eastAsia="仿宋"/>
          <w:sz w:val="30"/>
          <w:szCs w:val="30"/>
        </w:rPr>
        <w:t>万元，决算数为</w:t>
      </w:r>
      <w:r>
        <w:rPr>
          <w:rFonts w:hint="eastAsia" w:ascii="仿宋" w:hAnsi="仿宋" w:eastAsia="仿宋"/>
          <w:sz w:val="30"/>
          <w:szCs w:val="30"/>
          <w:lang w:val="en-US" w:eastAsia="zh-CN"/>
        </w:rPr>
        <w:t>1.27</w:t>
      </w:r>
      <w:r>
        <w:rPr>
          <w:rFonts w:hint="eastAsia" w:ascii="仿宋" w:hAnsi="仿宋" w:eastAsia="仿宋"/>
          <w:sz w:val="30"/>
          <w:szCs w:val="30"/>
        </w:rPr>
        <w:t>万元，完成预算的</w:t>
      </w:r>
      <w:r>
        <w:rPr>
          <w:rFonts w:hint="eastAsia" w:ascii="仿宋" w:hAnsi="仿宋" w:eastAsia="仿宋"/>
          <w:sz w:val="30"/>
          <w:szCs w:val="30"/>
          <w:lang w:val="en-US" w:eastAsia="zh-CN"/>
        </w:rPr>
        <w:t>51.42</w:t>
      </w:r>
      <w:r>
        <w:rPr>
          <w:rFonts w:hint="eastAsia" w:ascii="仿宋" w:hAnsi="仿宋" w:eastAsia="仿宋"/>
          <w:sz w:val="30"/>
          <w:szCs w:val="30"/>
        </w:rPr>
        <w:t>%，决算数较</w:t>
      </w:r>
      <w:r>
        <w:rPr>
          <w:rFonts w:hint="eastAsia" w:ascii="仿宋" w:hAnsi="仿宋" w:eastAsia="仿宋"/>
          <w:sz w:val="30"/>
          <w:szCs w:val="30"/>
          <w:lang w:eastAsia="zh-CN"/>
        </w:rPr>
        <w:t>2020</w:t>
      </w:r>
      <w:r>
        <w:rPr>
          <w:rFonts w:hint="eastAsia" w:ascii="仿宋" w:hAnsi="仿宋" w:eastAsia="仿宋"/>
          <w:sz w:val="30"/>
          <w:szCs w:val="30"/>
        </w:rPr>
        <w:t>年增加</w:t>
      </w:r>
      <w:r>
        <w:rPr>
          <w:rFonts w:hint="eastAsia" w:ascii="仿宋" w:hAnsi="仿宋" w:eastAsia="仿宋"/>
          <w:sz w:val="30"/>
          <w:szCs w:val="30"/>
          <w:lang w:val="en-US" w:eastAsia="zh-CN"/>
        </w:rPr>
        <w:t>0.4</w:t>
      </w:r>
      <w:r>
        <w:rPr>
          <w:rFonts w:hint="eastAsia" w:ascii="仿宋" w:hAnsi="仿宋" w:eastAsia="仿宋"/>
          <w:sz w:val="30"/>
          <w:szCs w:val="30"/>
        </w:rPr>
        <w:t>万元，增长</w:t>
      </w:r>
      <w:r>
        <w:rPr>
          <w:rFonts w:hint="eastAsia" w:ascii="仿宋" w:hAnsi="仿宋" w:eastAsia="仿宋"/>
          <w:sz w:val="30"/>
          <w:szCs w:val="30"/>
          <w:lang w:val="en-US" w:eastAsia="zh-CN"/>
        </w:rPr>
        <w:t>45.98</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主要原因接待活动较上年增多</w:t>
      </w:r>
      <w:r>
        <w:rPr>
          <w:rFonts w:hint="eastAsia" w:ascii="仿宋" w:hAnsi="仿宋" w:eastAsia="仿宋"/>
          <w:sz w:val="30"/>
          <w:szCs w:val="30"/>
        </w:rPr>
        <w:t>。决算数较年初预算数</w:t>
      </w:r>
      <w:r>
        <w:rPr>
          <w:rFonts w:hint="eastAsia" w:ascii="仿宋" w:hAnsi="仿宋" w:eastAsia="仿宋"/>
          <w:sz w:val="30"/>
          <w:szCs w:val="30"/>
          <w:lang w:val="en-US" w:eastAsia="zh-CN"/>
        </w:rPr>
        <w:t>减少的主要原因是严格执行三公经费支出原则</w:t>
      </w:r>
      <w:r>
        <w:rPr>
          <w:rFonts w:hint="eastAsia" w:ascii="仿宋" w:hAnsi="仿宋" w:eastAsia="仿宋"/>
          <w:sz w:val="30"/>
          <w:szCs w:val="30"/>
        </w:rPr>
        <w:t>。</w:t>
      </w:r>
      <w:r>
        <w:rPr>
          <w:rFonts w:hint="eastAsia" w:ascii="仿宋" w:hAnsi="仿宋" w:eastAsia="仿宋"/>
          <w:sz w:val="30"/>
          <w:szCs w:val="30"/>
          <w:lang w:val="en-US" w:eastAsia="zh-CN"/>
        </w:rPr>
        <w:t>全年国内公务接待14批，累计接待111人次，其中外事接待0批，累计接待0人次</w:t>
      </w:r>
      <w:r>
        <w:rPr>
          <w:rFonts w:hint="eastAsia" w:ascii="仿宋" w:hAnsi="仿宋" w:eastAsia="仿宋"/>
          <w:sz w:val="30"/>
          <w:szCs w:val="30"/>
        </w:rPr>
        <w:t>。</w:t>
      </w:r>
    </w:p>
    <w:p w14:paraId="469583C1">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1.49</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w:t>
      </w:r>
      <w:r>
        <w:rPr>
          <w:rFonts w:hint="eastAsia" w:ascii="仿宋" w:hAnsi="仿宋" w:eastAsia="仿宋"/>
          <w:sz w:val="30"/>
          <w:szCs w:val="30"/>
          <w:lang w:eastAsia="zh-CN"/>
        </w:rPr>
        <w:t>2020</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w:t>
      </w:r>
      <w:r>
        <w:rPr>
          <w:rFonts w:hint="eastAsia" w:ascii="仿宋" w:hAnsi="仿宋" w:eastAsia="仿宋"/>
          <w:sz w:val="30"/>
          <w:szCs w:val="30"/>
          <w:lang w:val="en-US" w:eastAsia="zh-CN"/>
        </w:rPr>
        <w:t>全年购置公务用车0辆</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5.18</w:t>
      </w:r>
      <w:r>
        <w:rPr>
          <w:rFonts w:hint="eastAsia" w:ascii="仿宋" w:hAnsi="仿宋" w:eastAsia="仿宋"/>
          <w:sz w:val="30"/>
          <w:szCs w:val="30"/>
        </w:rPr>
        <w:t>万元，决算数为</w:t>
      </w:r>
      <w:r>
        <w:rPr>
          <w:rFonts w:hint="eastAsia" w:ascii="仿宋" w:hAnsi="仿宋" w:eastAsia="仿宋"/>
          <w:sz w:val="30"/>
          <w:szCs w:val="30"/>
          <w:lang w:val="en-US" w:eastAsia="zh-CN"/>
        </w:rPr>
        <w:t>1.49</w:t>
      </w:r>
      <w:r>
        <w:rPr>
          <w:rFonts w:hint="eastAsia" w:ascii="仿宋" w:hAnsi="仿宋" w:eastAsia="仿宋"/>
          <w:sz w:val="30"/>
          <w:szCs w:val="30"/>
        </w:rPr>
        <w:t>万元，完成预算的</w:t>
      </w:r>
      <w:r>
        <w:rPr>
          <w:rFonts w:hint="eastAsia" w:ascii="仿宋" w:hAnsi="仿宋" w:eastAsia="仿宋"/>
          <w:sz w:val="30"/>
          <w:szCs w:val="30"/>
          <w:lang w:val="en-US" w:eastAsia="zh-CN"/>
        </w:rPr>
        <w:t>28.76</w:t>
      </w:r>
      <w:r>
        <w:rPr>
          <w:rFonts w:hint="eastAsia" w:ascii="仿宋" w:hAnsi="仿宋" w:eastAsia="仿宋"/>
          <w:sz w:val="30"/>
          <w:szCs w:val="30"/>
        </w:rPr>
        <w:t>%，决算数较</w:t>
      </w:r>
      <w:r>
        <w:rPr>
          <w:rFonts w:hint="eastAsia" w:ascii="仿宋" w:hAnsi="仿宋" w:eastAsia="仿宋"/>
          <w:sz w:val="30"/>
          <w:szCs w:val="30"/>
          <w:lang w:eastAsia="zh-CN"/>
        </w:rPr>
        <w:t>2020</w:t>
      </w:r>
      <w:r>
        <w:rPr>
          <w:rFonts w:hint="eastAsia" w:ascii="仿宋" w:hAnsi="仿宋" w:eastAsia="仿宋"/>
          <w:sz w:val="30"/>
          <w:szCs w:val="30"/>
        </w:rPr>
        <w:t>年增减少</w:t>
      </w:r>
      <w:r>
        <w:rPr>
          <w:rFonts w:hint="eastAsia" w:ascii="仿宋" w:hAnsi="仿宋" w:eastAsia="仿宋"/>
          <w:sz w:val="30"/>
          <w:szCs w:val="30"/>
          <w:lang w:val="en-US" w:eastAsia="zh-CN"/>
        </w:rPr>
        <w:t>1.15</w:t>
      </w:r>
      <w:r>
        <w:rPr>
          <w:rFonts w:hint="eastAsia" w:ascii="仿宋" w:hAnsi="仿宋" w:eastAsia="仿宋"/>
          <w:sz w:val="30"/>
          <w:szCs w:val="30"/>
        </w:rPr>
        <w:t>万元，下降</w:t>
      </w:r>
      <w:r>
        <w:rPr>
          <w:rFonts w:hint="eastAsia" w:ascii="仿宋" w:hAnsi="仿宋" w:eastAsia="仿宋"/>
          <w:sz w:val="30"/>
          <w:szCs w:val="30"/>
          <w:lang w:val="en-US" w:eastAsia="zh-CN"/>
        </w:rPr>
        <w:t>43.56</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cs="Times New Roman"/>
          <w:sz w:val="30"/>
          <w:szCs w:val="30"/>
          <w:lang w:val="en-US" w:eastAsia="zh-CN"/>
        </w:rPr>
        <w:t>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r>
        <w:rPr>
          <w:rFonts w:hint="eastAsia" w:ascii="仿宋" w:hAnsi="仿宋" w:eastAsia="仿宋"/>
          <w:sz w:val="30"/>
          <w:szCs w:val="30"/>
          <w:lang w:val="en-US" w:eastAsia="zh-CN"/>
        </w:rPr>
        <w:t>年末公务用车保有3辆</w:t>
      </w:r>
      <w:r>
        <w:rPr>
          <w:rFonts w:hint="eastAsia" w:ascii="仿宋" w:hAnsi="仿宋" w:eastAsia="仿宋"/>
          <w:sz w:val="30"/>
          <w:szCs w:val="30"/>
        </w:rPr>
        <w:t>。决算数较年初预算数增加（减少）的主要原因是：</w:t>
      </w:r>
      <w:r>
        <w:rPr>
          <w:rFonts w:hint="eastAsia" w:ascii="仿宋" w:hAnsi="仿宋" w:eastAsia="仿宋"/>
          <w:sz w:val="30"/>
          <w:szCs w:val="30"/>
          <w:lang w:eastAsia="zh-CN"/>
        </w:rPr>
        <w:t>缩减公务开支，提倡节约型办公</w:t>
      </w:r>
      <w:r>
        <w:rPr>
          <w:rFonts w:hint="eastAsia" w:ascii="仿宋" w:hAnsi="仿宋" w:eastAsia="仿宋"/>
          <w:sz w:val="30"/>
          <w:szCs w:val="30"/>
        </w:rPr>
        <w:t>。</w:t>
      </w:r>
    </w:p>
    <w:p w14:paraId="6A447CD2">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2145C8F">
      <w:pPr>
        <w:ind w:firstLine="630"/>
        <w:jc w:val="left"/>
        <w:rPr>
          <w:rFonts w:hint="eastAsia" w:ascii="仿宋" w:hAnsi="仿宋" w:eastAsia="仿宋"/>
          <w:sz w:val="30"/>
          <w:szCs w:val="30"/>
          <w:lang w:val="en-US" w:eastAsia="zh-CN"/>
        </w:rPr>
      </w:pPr>
      <w:r>
        <w:rPr>
          <w:rFonts w:hint="eastAsia" w:ascii="仿宋" w:hAnsi="仿宋" w:eastAsia="仿宋"/>
          <w:sz w:val="30"/>
          <w:szCs w:val="30"/>
        </w:rPr>
        <w:t>本部门</w:t>
      </w:r>
      <w:r>
        <w:rPr>
          <w:rFonts w:hint="eastAsia" w:ascii="仿宋" w:hAnsi="仿宋" w:eastAsia="仿宋"/>
          <w:sz w:val="30"/>
          <w:szCs w:val="30"/>
          <w:lang w:eastAsia="zh-CN"/>
        </w:rPr>
        <w:t>2021</w:t>
      </w:r>
      <w:r>
        <w:rPr>
          <w:rFonts w:hint="eastAsia" w:ascii="仿宋" w:hAnsi="仿宋" w:eastAsia="仿宋"/>
          <w:sz w:val="30"/>
          <w:szCs w:val="30"/>
        </w:rPr>
        <w:t>年度机关运行经费支出</w:t>
      </w:r>
      <w:r>
        <w:rPr>
          <w:rFonts w:hint="eastAsia" w:ascii="仿宋" w:hAnsi="仿宋" w:eastAsia="仿宋"/>
          <w:sz w:val="30"/>
          <w:szCs w:val="30"/>
          <w:lang w:val="en-US" w:eastAsia="zh-CN"/>
        </w:rPr>
        <w:t>157.86</w:t>
      </w:r>
      <w:r>
        <w:rPr>
          <w:rFonts w:hint="eastAsia" w:ascii="仿宋" w:hAnsi="仿宋" w:eastAsia="仿宋"/>
          <w:sz w:val="30"/>
          <w:szCs w:val="30"/>
        </w:rPr>
        <w:t>万元（与部门决算中行政单位和参照公务员法管理事业单位一般公共预算财政拨款基本支出中公用经费之和一致），较</w:t>
      </w:r>
      <w:r>
        <w:rPr>
          <w:rFonts w:hint="eastAsia" w:ascii="仿宋" w:hAnsi="仿宋" w:eastAsia="仿宋"/>
          <w:sz w:val="30"/>
          <w:szCs w:val="30"/>
          <w:lang w:val="en-US" w:eastAsia="zh-CN"/>
        </w:rPr>
        <w:t>上年决算数减少23.74</w:t>
      </w:r>
      <w:r>
        <w:rPr>
          <w:rFonts w:hint="eastAsia" w:ascii="仿宋" w:hAnsi="仿宋" w:eastAsia="仿宋"/>
          <w:sz w:val="30"/>
          <w:szCs w:val="30"/>
        </w:rPr>
        <w:t>万元，</w:t>
      </w:r>
      <w:r>
        <w:rPr>
          <w:rFonts w:hint="eastAsia" w:ascii="仿宋" w:hAnsi="仿宋" w:eastAsia="仿宋"/>
          <w:sz w:val="30"/>
          <w:szCs w:val="30"/>
          <w:lang w:val="en-US" w:eastAsia="zh-CN"/>
        </w:rPr>
        <w:t>下降13.07</w:t>
      </w:r>
      <w:r>
        <w:rPr>
          <w:rFonts w:hint="eastAsia" w:ascii="仿宋" w:hAnsi="仿宋" w:eastAsia="仿宋"/>
          <w:sz w:val="30"/>
          <w:szCs w:val="30"/>
        </w:rPr>
        <w:t>%，主要原因是：</w:t>
      </w:r>
      <w:r>
        <w:rPr>
          <w:rFonts w:hint="eastAsia" w:ascii="仿宋" w:hAnsi="仿宋" w:eastAsia="仿宋"/>
          <w:sz w:val="30"/>
          <w:szCs w:val="30"/>
          <w:lang w:val="en-US" w:eastAsia="zh-CN"/>
        </w:rPr>
        <w:t>落实过紧日子压减公用经费支出。</w:t>
      </w:r>
    </w:p>
    <w:p w14:paraId="0CC8CCD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25728023">
      <w:pPr>
        <w:pStyle w:val="9"/>
        <w:spacing w:line="600" w:lineRule="atLeast"/>
        <w:ind w:firstLine="600"/>
        <w:rPr>
          <w:rFonts w:hint="eastAsia" w:ascii="仿宋" w:hAnsi="仿宋" w:eastAsia="仿宋"/>
          <w:sz w:val="30"/>
          <w:szCs w:val="30"/>
        </w:rPr>
      </w:pPr>
      <w:r>
        <w:rPr>
          <w:rFonts w:hint="eastAsia" w:ascii="仿宋_GB2312" w:hAnsi="仿宋_GB2312" w:eastAsia="仿宋_GB2312"/>
          <w:sz w:val="30"/>
          <w:szCs w:val="30"/>
        </w:rPr>
        <w:t>本部门202</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年度政府采购支出总额</w:t>
      </w:r>
      <w:r>
        <w:rPr>
          <w:rFonts w:hint="eastAsia" w:ascii="仿宋_GB2312" w:hAnsi="仿宋_GB2312" w:eastAsia="仿宋_GB2312"/>
          <w:sz w:val="30"/>
          <w:szCs w:val="30"/>
          <w:lang w:val="en-US" w:eastAsia="zh-CN"/>
        </w:rPr>
        <w:t>14.03</w:t>
      </w:r>
      <w:r>
        <w:rPr>
          <w:rFonts w:hint="eastAsia" w:ascii="仿宋_GB2312" w:hAnsi="仿宋_GB2312" w:eastAsia="仿宋_GB2312"/>
          <w:sz w:val="30"/>
          <w:szCs w:val="30"/>
        </w:rPr>
        <w:t>万元，其中：政府采购货物支出</w:t>
      </w:r>
      <w:r>
        <w:rPr>
          <w:rFonts w:hint="eastAsia" w:ascii="仿宋_GB2312" w:hAnsi="仿宋_GB2312" w:eastAsia="仿宋_GB2312"/>
          <w:sz w:val="30"/>
          <w:szCs w:val="30"/>
          <w:lang w:val="en-US" w:eastAsia="zh-CN"/>
        </w:rPr>
        <w:t>14.03</w:t>
      </w:r>
      <w:r>
        <w:rPr>
          <w:rFonts w:hint="eastAsia" w:ascii="仿宋_GB2312" w:hAnsi="仿宋_GB2312" w:eastAsia="仿宋_GB2312"/>
          <w:sz w:val="30"/>
          <w:szCs w:val="30"/>
        </w:rPr>
        <w:t>万元、政府采购工程支出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万元、政府采购服务支出</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万元。授予中小企业合同金额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万元，占政府采购支出总额的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%，其中：授予小微企业合同金额</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万元，占政府采购支出总额的</w:t>
      </w:r>
      <w:r>
        <w:rPr>
          <w:rFonts w:hint="eastAsia" w:ascii="仿宋_GB2312" w:hAnsi="仿宋_GB2312" w:eastAsia="仿宋_GB2312"/>
          <w:sz w:val="30"/>
          <w:szCs w:val="30"/>
          <w:lang w:val="en-US" w:eastAsia="zh-CN"/>
        </w:rPr>
        <w:t>0</w:t>
      </w: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w:t>
      </w:r>
      <w:r>
        <w:rPr>
          <w:rFonts w:hint="eastAsia" w:ascii="仿宋_GB2312" w:hAnsi="仿宋_GB2312" w:eastAsia="仿宋_GB2312"/>
          <w:color w:val="auto"/>
          <w:sz w:val="30"/>
          <w:szCs w:val="30"/>
          <w:lang w:val="en-US" w:eastAsia="zh-CN"/>
        </w:rPr>
        <w:t>货物采购授予中小企业合同金额占货物支出金额的0%，工程采购授予中小企业合同金额占工程支出金额的0%，服务采购授予中小企业合同金额占服务支出金额的0%</w:t>
      </w:r>
      <w:r>
        <w:rPr>
          <w:rFonts w:hint="eastAsia" w:ascii="仿宋" w:hAnsi="仿宋" w:eastAsia="仿宋"/>
          <w:sz w:val="30"/>
          <w:szCs w:val="30"/>
        </w:rPr>
        <w:t>。</w:t>
      </w:r>
    </w:p>
    <w:p w14:paraId="209AC9F9">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9ACA2F8">
      <w:pPr>
        <w:ind w:firstLine="630"/>
        <w:jc w:val="left"/>
        <w:rPr>
          <w:rFonts w:hint="eastAsia" w:ascii="仿宋" w:hAnsi="仿宋" w:eastAsia="仿宋"/>
          <w:kern w:val="0"/>
          <w:sz w:val="30"/>
          <w:szCs w:val="30"/>
        </w:rPr>
      </w:pPr>
      <w:r>
        <w:rPr>
          <w:rFonts w:hint="eastAsia" w:ascii="仿宋" w:hAnsi="仿宋" w:eastAsia="仿宋"/>
          <w:kern w:val="0"/>
          <w:sz w:val="30"/>
          <w:szCs w:val="30"/>
        </w:rPr>
        <w:t>截</w:t>
      </w:r>
      <w:r>
        <w:rPr>
          <w:rFonts w:hint="eastAsia" w:ascii="仿宋" w:hAnsi="仿宋" w:eastAsia="仿宋"/>
          <w:kern w:val="0"/>
          <w:sz w:val="30"/>
          <w:szCs w:val="30"/>
          <w:lang w:val="en-US" w:eastAsia="zh-CN"/>
        </w:rPr>
        <w:t>至</w:t>
      </w:r>
      <w:bookmarkStart w:id="0" w:name="_GoBack"/>
      <w:bookmarkEnd w:id="0"/>
      <w:r>
        <w:rPr>
          <w:rFonts w:hint="eastAsia" w:ascii="仿宋" w:hAnsi="仿宋" w:eastAsia="仿宋"/>
          <w:kern w:val="0"/>
          <w:sz w:val="30"/>
          <w:szCs w:val="30"/>
          <w:lang w:eastAsia="zh-CN"/>
        </w:rPr>
        <w:t>2021</w:t>
      </w:r>
      <w:r>
        <w:rPr>
          <w:rFonts w:hint="eastAsia" w:ascii="仿宋" w:hAnsi="仿宋" w:eastAsia="仿宋"/>
          <w:kern w:val="0"/>
          <w:sz w:val="30"/>
          <w:szCs w:val="30"/>
        </w:rPr>
        <w:t>年12月31日，本部门</w:t>
      </w:r>
      <w:r>
        <w:rPr>
          <w:rFonts w:hint="eastAsia" w:ascii="仿宋" w:hAnsi="仿宋" w:eastAsia="仿宋"/>
          <w:kern w:val="0"/>
          <w:sz w:val="30"/>
          <w:szCs w:val="30"/>
          <w:lang w:eastAsia="zh-CN"/>
        </w:rPr>
        <w:t>（</w:t>
      </w:r>
      <w:r>
        <w:rPr>
          <w:rFonts w:hint="eastAsia" w:ascii="仿宋" w:hAnsi="仿宋" w:eastAsia="仿宋"/>
          <w:kern w:val="0"/>
          <w:sz w:val="30"/>
          <w:szCs w:val="30"/>
          <w:lang w:val="en-US" w:eastAsia="zh-CN"/>
        </w:rPr>
        <w:t>单位）</w:t>
      </w:r>
      <w:r>
        <w:rPr>
          <w:rFonts w:hint="eastAsia" w:ascii="仿宋" w:hAnsi="仿宋" w:eastAsia="仿宋"/>
          <w:kern w:val="0"/>
          <w:sz w:val="30"/>
          <w:szCs w:val="30"/>
        </w:rPr>
        <w:t>国有资产占用情况见</w:t>
      </w:r>
      <w:r>
        <w:rPr>
          <w:rFonts w:hint="eastAsia" w:ascii="仿宋" w:hAnsi="仿宋" w:eastAsia="仿宋"/>
          <w:kern w:val="0"/>
          <w:sz w:val="30"/>
          <w:szCs w:val="30"/>
          <w:lang w:val="en-US" w:eastAsia="zh-CN"/>
        </w:rPr>
        <w:t>公开10</w:t>
      </w:r>
      <w:r>
        <w:rPr>
          <w:rFonts w:hint="eastAsia" w:ascii="仿宋" w:hAnsi="仿宋" w:eastAsia="仿宋"/>
          <w:kern w:val="0"/>
          <w:sz w:val="30"/>
          <w:szCs w:val="30"/>
        </w:rPr>
        <w:t>表《国有资产占用情况表》。</w:t>
      </w:r>
    </w:p>
    <w:p w14:paraId="551EE116">
      <w:pPr>
        <w:ind w:firstLine="630"/>
        <w:jc w:val="left"/>
        <w:rPr>
          <w:rFonts w:hint="default" w:ascii="仿宋_GB2312" w:hAnsi="仿宋" w:eastAsia="仿宋_GB2312"/>
          <w:kern w:val="0"/>
          <w:sz w:val="30"/>
          <w:szCs w:val="30"/>
          <w:lang w:val="en-US" w:eastAsia="zh-CN"/>
        </w:rPr>
      </w:pPr>
      <w:r>
        <w:rPr>
          <w:rFonts w:hint="eastAsia" w:ascii="仿宋" w:hAnsi="仿宋" w:eastAsia="仿宋"/>
          <w:kern w:val="0"/>
          <w:sz w:val="30"/>
          <w:szCs w:val="30"/>
          <w:lang w:val="en-US" w:eastAsia="zh-CN"/>
        </w:rPr>
        <w:t>本部门共有车辆3辆，其中2辆为下属单位景德镇军供站所有，</w:t>
      </w:r>
      <w:r>
        <w:rPr>
          <w:rFonts w:hint="eastAsia" w:ascii="仿宋_GB2312" w:hAnsi="仿宋_GB2312" w:eastAsia="仿宋_GB2312"/>
          <w:kern w:val="0"/>
          <w:sz w:val="30"/>
          <w:szCs w:val="30"/>
          <w:lang w:val="en-US" w:eastAsia="zh-CN"/>
        </w:rPr>
        <w:t>为军供保障指挥用车；1辆为下属单位景德镇市军队离休退休干部休养所所有，</w:t>
      </w:r>
      <w:r>
        <w:rPr>
          <w:rFonts w:hint="eastAsia" w:ascii="仿宋_GB2312" w:hAnsi="仿宋" w:eastAsia="仿宋_GB2312"/>
          <w:kern w:val="0"/>
          <w:sz w:val="30"/>
          <w:szCs w:val="30"/>
          <w:lang w:val="en-US" w:eastAsia="zh-CN"/>
        </w:rPr>
        <w:t>为军休干部服务保障用车，专门用于军休干部相关事宜。</w:t>
      </w:r>
    </w:p>
    <w:p w14:paraId="6C05FD36">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单位价值50万元以上通用设备0台（套）；单位价值100万元以上专用设备0台（套）。</w:t>
      </w:r>
    </w:p>
    <w:p w14:paraId="2572EFDC">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AD751E8">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36AA0498">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hint="eastAsia" w:ascii="仿宋" w:hAnsi="仿宋" w:eastAsia="仿宋" w:cs="仿宋_GB2312"/>
          <w:kern w:val="0"/>
          <w:sz w:val="30"/>
          <w:szCs w:val="30"/>
          <w:lang w:eastAsia="zh-CN"/>
        </w:rPr>
        <w:t>2021</w:t>
      </w:r>
      <w:r>
        <w:rPr>
          <w:rFonts w:hint="eastAsia" w:ascii="仿宋" w:hAnsi="仿宋" w:eastAsia="仿宋" w:cs="仿宋_GB2312"/>
          <w:kern w:val="0"/>
          <w:sz w:val="30"/>
          <w:szCs w:val="30"/>
        </w:rPr>
        <w:t>年度</w:t>
      </w:r>
      <w:r>
        <w:rPr>
          <w:rFonts w:hint="eastAsia" w:ascii="仿宋" w:hAnsi="仿宋" w:eastAsia="仿宋" w:cs="仿宋_GB2312"/>
          <w:kern w:val="0"/>
          <w:sz w:val="30"/>
          <w:szCs w:val="30"/>
          <w:lang w:val="en-US" w:eastAsia="zh-CN"/>
        </w:rPr>
        <w:t>部门预算</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范围的二级项目10个</w:t>
      </w:r>
      <w:r>
        <w:rPr>
          <w:rFonts w:hint="eastAsia" w:ascii="仿宋" w:hAnsi="仿宋" w:eastAsia="仿宋" w:cs="仿宋_GB2312"/>
          <w:kern w:val="0"/>
          <w:sz w:val="30"/>
          <w:szCs w:val="30"/>
        </w:rPr>
        <w:t>全面开展绩效自评，共涉及资金</w:t>
      </w:r>
      <w:r>
        <w:rPr>
          <w:rFonts w:hint="eastAsia" w:ascii="仿宋" w:hAnsi="仿宋" w:eastAsia="仿宋" w:cs="仿宋_GB2312"/>
          <w:kern w:val="0"/>
          <w:sz w:val="30"/>
          <w:szCs w:val="30"/>
          <w:lang w:val="en-US" w:eastAsia="zh-CN"/>
        </w:rPr>
        <w:t>922.68</w:t>
      </w:r>
      <w:r>
        <w:rPr>
          <w:rFonts w:hint="eastAsia" w:ascii="仿宋" w:hAnsi="仿宋" w:eastAsia="仿宋" w:cs="仿宋_GB2312"/>
          <w:kern w:val="0"/>
          <w:sz w:val="30"/>
          <w:szCs w:val="30"/>
        </w:rPr>
        <w:t>万元，占项目支出总额的</w:t>
      </w:r>
      <w:r>
        <w:rPr>
          <w:rFonts w:hint="eastAsia" w:ascii="仿宋" w:hAnsi="仿宋" w:eastAsia="仿宋" w:cs="仿宋_GB2312"/>
          <w:kern w:val="0"/>
          <w:sz w:val="30"/>
          <w:szCs w:val="30"/>
          <w:lang w:val="en-US" w:eastAsia="zh-CN"/>
        </w:rPr>
        <w:t>67.83</w:t>
      </w:r>
      <w:r>
        <w:rPr>
          <w:rFonts w:hint="eastAsia" w:ascii="仿宋" w:hAnsi="仿宋" w:eastAsia="仿宋" w:cs="仿宋_GB2312"/>
          <w:kern w:val="0"/>
          <w:sz w:val="30"/>
          <w:szCs w:val="30"/>
        </w:rPr>
        <w:t xml:space="preserve">%。    </w:t>
      </w:r>
    </w:p>
    <w:p w14:paraId="36F3741A">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随军家属安置经费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922.68</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w:t>
      </w:r>
      <w:r>
        <w:rPr>
          <w:rFonts w:hint="eastAsia" w:ascii="仿宋_GB2312" w:hAnsi="仿宋_GB2312" w:eastAsia="仿宋_GB2312" w:cs="仿宋_GB2312"/>
          <w:color w:val="auto"/>
          <w:kern w:val="0"/>
          <w:sz w:val="30"/>
          <w:szCs w:val="30"/>
          <w:lang w:val="en-US" w:eastAsia="zh-CN"/>
        </w:rPr>
        <w:t>政府性基金预算支出0万元，国有资本预算支出0万元</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val="en-US" w:eastAsia="zh-CN"/>
        </w:rPr>
        <w:t>完成情况良好，满意度较高。</w:t>
      </w:r>
    </w:p>
    <w:p w14:paraId="632B2C24">
      <w:pPr>
        <w:autoSpaceDE w:val="0"/>
        <w:autoSpaceDN w:val="0"/>
        <w:adjustRightInd w:val="0"/>
        <w:spacing w:line="360" w:lineRule="auto"/>
        <w:ind w:firstLine="600" w:firstLineChars="200"/>
        <w:jc w:val="left"/>
        <w:rPr>
          <w:rFonts w:hint="eastAsia"/>
          <w:lang w:val="en-US" w:eastAsia="zh-CN"/>
        </w:rPr>
      </w:pPr>
      <w:r>
        <w:rPr>
          <w:rFonts w:hint="eastAsia" w:ascii="仿宋_GB2312" w:hAnsi="仿宋_GB2312" w:eastAsia="仿宋_GB2312" w:cs="仿宋_GB2312"/>
          <w:color w:val="auto"/>
          <w:kern w:val="0"/>
          <w:sz w:val="30"/>
          <w:szCs w:val="30"/>
        </w:rPr>
        <w:t>组织开展</w:t>
      </w:r>
      <w:r>
        <w:rPr>
          <w:rFonts w:hint="eastAsia" w:ascii="仿宋_GB2312" w:hAnsi="仿宋_GB2312" w:eastAsia="仿宋_GB2312" w:cs="仿宋_GB2312"/>
          <w:color w:val="auto"/>
          <w:kern w:val="0"/>
          <w:sz w:val="30"/>
          <w:szCs w:val="30"/>
          <w:lang w:val="en-US" w:eastAsia="zh-CN"/>
        </w:rPr>
        <w:t>部门整体支出绩效评价</w:t>
      </w:r>
      <w:r>
        <w:rPr>
          <w:rFonts w:hint="eastAsia" w:ascii="仿宋_GB2312" w:hAnsi="仿宋_GB2312" w:eastAsia="仿宋_GB2312" w:cs="仿宋_GB2312"/>
          <w:color w:val="auto"/>
          <w:kern w:val="0"/>
          <w:sz w:val="30"/>
          <w:szCs w:val="30"/>
        </w:rPr>
        <w:t xml:space="preserve">，涉及一般公共预算支出  </w:t>
      </w:r>
      <w:r>
        <w:rPr>
          <w:rFonts w:hint="eastAsia" w:ascii="仿宋_GB2312" w:hAnsi="仿宋_GB2312" w:eastAsia="仿宋_GB2312" w:cs="仿宋_GB2312"/>
          <w:color w:val="auto"/>
          <w:kern w:val="0"/>
          <w:sz w:val="30"/>
          <w:szCs w:val="30"/>
          <w:lang w:val="en-US" w:eastAsia="zh-CN"/>
        </w:rPr>
        <w:t>3277.62</w:t>
      </w:r>
      <w:r>
        <w:rPr>
          <w:rFonts w:hint="eastAsia" w:ascii="仿宋_GB2312" w:hAnsi="仿宋_GB2312" w:eastAsia="仿宋_GB2312" w:cs="仿宋_GB2312"/>
          <w:color w:val="auto"/>
          <w:kern w:val="0"/>
          <w:sz w:val="30"/>
          <w:szCs w:val="30"/>
        </w:rPr>
        <w:t>万元</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政府性基金预算支出0万元</w:t>
      </w:r>
      <w:r>
        <w:rPr>
          <w:rFonts w:hint="eastAsia" w:ascii="仿宋_GB2312" w:hAnsi="仿宋_GB2312" w:eastAsia="仿宋_GB2312" w:cs="仿宋_GB2312"/>
          <w:color w:val="auto"/>
          <w:kern w:val="0"/>
          <w:sz w:val="30"/>
          <w:szCs w:val="30"/>
        </w:rPr>
        <w:t>。从评价情况来看，</w:t>
      </w:r>
      <w:r>
        <w:rPr>
          <w:rFonts w:hint="eastAsia" w:ascii="仿宋_GB2312" w:hAnsi="仿宋_GB2312" w:eastAsia="仿宋_GB2312" w:cs="仿宋_GB2312"/>
          <w:color w:val="auto"/>
          <w:kern w:val="0"/>
          <w:sz w:val="30"/>
          <w:szCs w:val="30"/>
          <w:lang w:val="en-US" w:eastAsia="zh-CN"/>
        </w:rPr>
        <w:t>全年完成情况与年初设定目标基本一致，部门整体支出资金管理规范，有效发挥了财政资金的使用效率，基本保障了全市范围内退役军人事务工作的开展</w:t>
      </w:r>
      <w:r>
        <w:rPr>
          <w:rFonts w:hint="eastAsia" w:ascii="仿宋_GB2312" w:hAnsi="仿宋_GB2312" w:eastAsia="仿宋_GB2312" w:cs="仿宋_GB2312"/>
          <w:color w:val="auto"/>
          <w:kern w:val="0"/>
          <w:sz w:val="30"/>
          <w:szCs w:val="30"/>
        </w:rPr>
        <w:t>。</w:t>
      </w:r>
    </w:p>
    <w:p w14:paraId="0DBF89ED">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w:t>
      </w:r>
      <w:r>
        <w:rPr>
          <w:rFonts w:hint="eastAsia" w:ascii="仿宋" w:hAnsi="仿宋" w:eastAsia="仿宋" w:cs="仿宋_GB2312"/>
          <w:kern w:val="0"/>
          <w:sz w:val="30"/>
          <w:szCs w:val="30"/>
          <w:lang w:val="en-US" w:eastAsia="zh-CN"/>
        </w:rPr>
        <w:t>情况</w:t>
      </w:r>
      <w:r>
        <w:rPr>
          <w:rFonts w:hint="eastAsia" w:ascii="仿宋" w:hAnsi="仿宋" w:eastAsia="仿宋" w:cs="仿宋_GB2312"/>
          <w:kern w:val="0"/>
          <w:sz w:val="30"/>
          <w:szCs w:val="30"/>
        </w:rPr>
        <w:t>。</w:t>
      </w:r>
    </w:p>
    <w:p w14:paraId="2B3A661D">
      <w:pPr>
        <w:pStyle w:val="2"/>
        <w:ind w:firstLine="602" w:firstLineChars="200"/>
        <w:jc w:val="center"/>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市退役军人事务局整体支出绩效自评报告</w:t>
      </w:r>
    </w:p>
    <w:p w14:paraId="238A3519">
      <w:pPr>
        <w:pStyle w:val="2"/>
        <w:ind w:firstLine="602" w:firstLineChars="200"/>
        <w:jc w:val="center"/>
        <w:rPr>
          <w:rFonts w:hint="eastAsia" w:ascii="仿宋" w:hAnsi="仿宋" w:eastAsia="仿宋" w:cs="仿宋_GB2312"/>
          <w:kern w:val="0"/>
          <w:sz w:val="30"/>
          <w:szCs w:val="30"/>
          <w:lang w:val="en-US" w:eastAsia="zh-CN"/>
        </w:rPr>
      </w:pPr>
      <w:r>
        <w:rPr>
          <w:rFonts w:hint="eastAsia" w:ascii="仿宋" w:hAnsi="仿宋" w:eastAsia="仿宋" w:cs="仿宋_GB2312"/>
          <w:b/>
          <w:bCs/>
          <w:kern w:val="0"/>
          <w:sz w:val="30"/>
          <w:szCs w:val="30"/>
          <w:lang w:val="en-US" w:eastAsia="zh-CN"/>
        </w:rPr>
        <w:t>（2021年度）</w:t>
      </w:r>
    </w:p>
    <w:p w14:paraId="0E523087">
      <w:pPr>
        <w:pStyle w:val="2"/>
        <w:numPr>
          <w:ilvl w:val="0"/>
          <w:numId w:val="3"/>
        </w:numPr>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部门概况</w:t>
      </w:r>
    </w:p>
    <w:p w14:paraId="4E056A04">
      <w:pPr>
        <w:pStyle w:val="2"/>
        <w:numPr>
          <w:ilvl w:val="0"/>
          <w:numId w:val="0"/>
        </w:numPr>
        <w:ind w:firstLine="600" w:firstLineChars="200"/>
        <w:rPr>
          <w:rFonts w:hint="default"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（一）部门主要职责职能</w:t>
      </w:r>
    </w:p>
    <w:p w14:paraId="16BA1F1A">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(1)拟订全市退役军人思想政治、管理保障和安置优抚等工作地方性法规规章和政策并组织实施，褒扬彰显退役军人为党、国家和人民牺牲奉献的精神风范和价值导向。</w:t>
      </w:r>
    </w:p>
    <w:p w14:paraId="1570E8F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(2)负责全市军队转业干部、复员干部、离休退休干部、退役士兵和无军籍退休退职职工的移交安置工作和自主择业、就业退役军人服务管理等有关工作。</w:t>
      </w:r>
    </w:p>
    <w:p w14:paraId="6BF8281E">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 xml:space="preserve">(3)组织指导全市退役军人教育培训工作，协调扶持退役军人和随军随调家属就业创业。                     </w:t>
      </w:r>
    </w:p>
    <w:p w14:paraId="3148001C">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(4)会同有关部门拟定全市退役军人特殊保障政策并组织落实。</w:t>
      </w:r>
    </w:p>
    <w:p w14:paraId="55299F87">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(5)组织协调落实军队移交我市符合条件的离休退休干部住房补贴和无军籍退休退职职工住房维修、房租补贴发放等服务保障工作，以及退役军人医疗保障、社会保险等待遇保障工作。</w:t>
      </w:r>
    </w:p>
    <w:p w14:paraId="135F81A0">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(6)组织指导全市伤病残退役军人服务管理和抚恤工作，会同有关部门拟订有关退役军人医疗、疗养、养老等机构的规划政策并指导实施。承担不适宜继续服役的伤病残军人相关工作。组织指导军供服务保障工作。</w:t>
      </w:r>
    </w:p>
    <w:p w14:paraId="058D5C40">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(7)组织指导全市拥军优属工作。负责现役军人、退役军人、军队文职人员和军属优待、抚恤等工作，落实国民党抗战老兵等有关人员优待政策。</w:t>
      </w:r>
    </w:p>
    <w:p w14:paraId="1FD243DB">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(8)负责烈士及退役军人荣誉奖励、军人公墓管理维护、纪念活动等工作，依法承担英雄烈士保护相关工作，审核拟列入市级烈士纪念设施名录，按规定总结表彰和宣扬退役军人、退役军人工作单位和个人先进典型事迹。</w:t>
      </w:r>
    </w:p>
    <w:p w14:paraId="6665E42C">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(9)指导并监督检查退役军人相关法律法规和政策措施的落实，组织开展退役军人权益维护和有关人员的帮扶援助工作。指导督促所属单位进行安全管理。</w:t>
      </w:r>
    </w:p>
    <w:p w14:paraId="406FFF41">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(10)在征求市委组织、机构编制等部门意见基础上，牵头提出全市计划分配军队转业干部、符合条件的退役士兵的安置计划。</w:t>
      </w:r>
    </w:p>
    <w:p w14:paraId="567ED0AF">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(11)完成市委、市政府交办的其他任务。</w:t>
      </w:r>
    </w:p>
    <w:p w14:paraId="6E7BBB04">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(12)职能转变。市退役军人事务局应加强全市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119BF5B1">
      <w:pPr>
        <w:pStyle w:val="2"/>
        <w:ind w:firstLine="600" w:firstLineChars="200"/>
        <w:rPr>
          <w:rFonts w:hint="eastAsia"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（二）部门履职总体目标、工作任务</w:t>
      </w:r>
    </w:p>
    <w:p w14:paraId="2ECC1A3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1.完成春节及八一走访慰问；</w:t>
      </w:r>
    </w:p>
    <w:p w14:paraId="57EEE8A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2.企业军转干部解困、医疗救助做到应帮尽帮；随军家属安置经费发放到位；</w:t>
      </w:r>
    </w:p>
    <w:p w14:paraId="4ED9EB3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3.自谋职业及自主就业士兵安置经费发放到位；</w:t>
      </w:r>
    </w:p>
    <w:p w14:paraId="7D2FA44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4.自主择业军转干部医疗保险按月缴纳到位，冬季取暖费发放到位；</w:t>
      </w:r>
    </w:p>
    <w:p w14:paraId="65574F44">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5.退役士兵安置期间生活费及社保缴纳到位；</w:t>
      </w:r>
    </w:p>
    <w:p w14:paraId="18990DC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6.军队供应工作顺利完成；</w:t>
      </w:r>
    </w:p>
    <w:p w14:paraId="55B01EA1">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7.日常工作有序进行。</w:t>
      </w:r>
    </w:p>
    <w:p w14:paraId="2D338F56">
      <w:pPr>
        <w:pStyle w:val="2"/>
        <w:ind w:firstLine="600" w:firstLineChars="200"/>
        <w:rPr>
          <w:rFonts w:hint="eastAsia"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（三）部门年度整体支出绩效目标</w:t>
      </w:r>
    </w:p>
    <w:p w14:paraId="5A2B71C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1.完成春节及八一走访慰问；</w:t>
      </w:r>
    </w:p>
    <w:p w14:paraId="6EC0619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2.企业军转干部解困、医疗救助做到应帮尽帮；随军家属安置经费发放到位；</w:t>
      </w:r>
    </w:p>
    <w:p w14:paraId="6D351ACF">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3.自谋职业及自主就业士兵安置经费发放到位；</w:t>
      </w:r>
    </w:p>
    <w:p w14:paraId="57750600">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4.自主择业军转干部医疗保险按月缴纳到位，冬季取暖费发放到位；</w:t>
      </w:r>
    </w:p>
    <w:p w14:paraId="44B1284B">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5.退役士兵安置期间生活费及社保缴纳到位；</w:t>
      </w:r>
    </w:p>
    <w:p w14:paraId="154CCEE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6.军队供应工作顺利完成。</w:t>
      </w:r>
    </w:p>
    <w:p w14:paraId="6344D976">
      <w:pPr>
        <w:pStyle w:val="2"/>
        <w:ind w:firstLine="600" w:firstLineChars="200"/>
        <w:rPr>
          <w:rFonts w:hint="eastAsia" w:ascii="仿宋" w:hAnsi="仿宋" w:eastAsia="仿宋" w:cs="仿宋_GB2312"/>
          <w:b w:val="0"/>
          <w:bCs w:val="0"/>
          <w:kern w:val="0"/>
          <w:sz w:val="30"/>
          <w:szCs w:val="30"/>
          <w:lang w:val="en-US" w:eastAsia="zh-CN"/>
        </w:rPr>
      </w:pPr>
      <w:r>
        <w:rPr>
          <w:rFonts w:hint="eastAsia" w:ascii="仿宋" w:hAnsi="仿宋" w:eastAsia="仿宋" w:cs="仿宋_GB2312"/>
          <w:b w:val="0"/>
          <w:bCs w:val="0"/>
          <w:kern w:val="0"/>
          <w:sz w:val="30"/>
          <w:szCs w:val="30"/>
          <w:lang w:val="en-US" w:eastAsia="zh-CN"/>
        </w:rPr>
        <w:t>（四）部门预算绩效管理开展情况</w:t>
      </w:r>
    </w:p>
    <w:p w14:paraId="4D1262E9">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各项目进行情况良好。</w:t>
      </w:r>
    </w:p>
    <w:p w14:paraId="5763E497">
      <w:pPr>
        <w:pStyle w:val="2"/>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二、部门整体支出绩效实现情况</w:t>
      </w:r>
    </w:p>
    <w:p w14:paraId="4F503809">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（一）履职完成情况</w:t>
      </w:r>
    </w:p>
    <w:p w14:paraId="6A35163E">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1.数量指标</w:t>
      </w:r>
    </w:p>
    <w:p w14:paraId="555D7166">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（1）完成对驻景部队、困难企业军转干部、重点优抚对象等春节及八一一年两次走访慰问；</w:t>
      </w:r>
    </w:p>
    <w:p w14:paraId="29BEBEB9">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（2）困难企业军转干部符合要求救助人员全员救助；</w:t>
      </w:r>
    </w:p>
    <w:p w14:paraId="2FCFF5B6">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（3）发放随军家属未就业补助符合条件人数81人；</w:t>
      </w:r>
    </w:p>
    <w:p w14:paraId="630C1864">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（4）自主就业、自谋职业退役士兵一次性经济补助全额发放；</w:t>
      </w:r>
    </w:p>
    <w:p w14:paraId="1D4D8409">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（5）自主择业军转干部113人相关业务开展。</w:t>
      </w:r>
    </w:p>
    <w:p w14:paraId="3E9703F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2.质量指标</w:t>
      </w:r>
    </w:p>
    <w:p w14:paraId="74158AC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（1）完成对驻景部队、困难企业军转干部、重点优抚对象等春节及八一一年两次走访慰问资金使用符合规定；</w:t>
      </w:r>
    </w:p>
    <w:p w14:paraId="33FE09A8">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（2）困难企业军转干部解困补助、医疗专项救助资金使用符合规定；</w:t>
      </w:r>
    </w:p>
    <w:p w14:paraId="5CBB7728">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（3）随军家属未就业补助严格按照发放标准发放；</w:t>
      </w:r>
    </w:p>
    <w:p w14:paraId="569BB77B">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（4）自主就业、自谋职业退役士兵一次性经济补助严格按照发放标准发放；</w:t>
      </w:r>
    </w:p>
    <w:p w14:paraId="21F0A91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（5）自主择业军转干部113人冬季取暖费、医保金严格按照发放标准发放和缴纳。</w:t>
      </w:r>
    </w:p>
    <w:p w14:paraId="6DCBD5DD">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3.质量指标</w:t>
      </w:r>
    </w:p>
    <w:p w14:paraId="0014BE7B">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（1）及时完成对驻景部队、困难企业军转干部、重点优抚对象等春节及八一一年两次走访慰问；</w:t>
      </w:r>
    </w:p>
    <w:p w14:paraId="4291B529">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（2）及时发放困难企业军转干部解困补助、医疗专项救助金；</w:t>
      </w:r>
    </w:p>
    <w:p w14:paraId="3754029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（3）及时发放随军家属未就业补助；</w:t>
      </w:r>
    </w:p>
    <w:p w14:paraId="5365039E">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（4）及时发放自主就业、自谋职业退役士兵一次性经济补助；</w:t>
      </w:r>
    </w:p>
    <w:p w14:paraId="3CF87FF4">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（5）及时发放自主择业军转干部113人冬季取暖费、医保金。</w:t>
      </w:r>
    </w:p>
    <w:p w14:paraId="5E1B09E7">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（二）履职效果情况</w:t>
      </w:r>
    </w:p>
    <w:p w14:paraId="6D7C2E0D">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1.增加了军人荣誉感认知度；</w:t>
      </w:r>
    </w:p>
    <w:p w14:paraId="7462AE5E">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2.落实困难企业军转干部解困补助、医疗专项救助等特殊待遇；</w:t>
      </w:r>
    </w:p>
    <w:p w14:paraId="2CACD230">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3.落实自主择业军转干部相关待遇；</w:t>
      </w:r>
    </w:p>
    <w:p w14:paraId="5A4710E4">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4.提高退役士兵安置政策知晓率；</w:t>
      </w:r>
    </w:p>
    <w:p w14:paraId="7BA40D0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5.维持社会稳定程度，涉军人员上访率低于5%。</w:t>
      </w:r>
    </w:p>
    <w:p w14:paraId="1D734461">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（三）社会满意度</w:t>
      </w:r>
    </w:p>
    <w:p w14:paraId="2A3766C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驻景部队、困难企业军转干部、自主择业军转干部、自谋职业及自主就业退役士兵、重点优抚对象等退役军人、现役军人满意度高于90%。</w:t>
      </w:r>
    </w:p>
    <w:p w14:paraId="66AF2DDE">
      <w:pPr>
        <w:pStyle w:val="2"/>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三、部门整体支出绩效中存在问题及改进措施</w:t>
      </w:r>
    </w:p>
    <w:p w14:paraId="1D2B7193">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（一）主要问题及原因分析</w:t>
      </w:r>
    </w:p>
    <w:p w14:paraId="4ADDD98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1.对于目标设定需要分科室部门分解，汇总后制定整体</w:t>
      </w:r>
    </w:p>
    <w:p w14:paraId="3B786F7C">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目标。目标设定后如何科学设定考核评价标准，特别是对于不能量化的目标如何评价。</w:t>
      </w:r>
    </w:p>
    <w:p w14:paraId="419AF2CF">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2.财务管理方面，会计核算不够细致，对于有些能够细分的工作，未能详细核算，绩效评价基础数据不够精准。</w:t>
      </w:r>
    </w:p>
    <w:p w14:paraId="4F5EB64A">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（二）改进的方向和具体措施</w:t>
      </w:r>
    </w:p>
    <w:p w14:paraId="5EF7B980">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1.学习如何科学合理制定绩效目标及考核体系，充分发</w:t>
      </w:r>
    </w:p>
    <w:p w14:paraId="2F3A632A">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挥绩效工作效用。</w:t>
      </w:r>
    </w:p>
    <w:p w14:paraId="42516BD0">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2.对于能细分、归总的业务工作，效仿专项支出进行管理，以便更好的进行绩效评价，发现不足，提出改进。</w:t>
      </w:r>
    </w:p>
    <w:p w14:paraId="40EF8E6B">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3.财务上，会计核算要更加详细，为本单位各项工作的</w:t>
      </w:r>
    </w:p>
    <w:p w14:paraId="363DACAB">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开展、总结、评估提供有效数据资料支撑，为各项业务工作更好得开展提供帮助。</w:t>
      </w:r>
    </w:p>
    <w:p w14:paraId="42F10486">
      <w:pPr>
        <w:pStyle w:val="2"/>
        <w:ind w:firstLine="602" w:firstLineChars="200"/>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四、绩效自评结果拟应用和公开情况</w:t>
      </w:r>
    </w:p>
    <w:p w14:paraId="3667F752">
      <w:pPr>
        <w:pStyle w:val="2"/>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根据相关要求进行公开，自评结果为97分，各项目完成情况良好。</w:t>
      </w:r>
    </w:p>
    <w:p w14:paraId="4B73DF35">
      <w:pPr>
        <w:spacing w:line="600" w:lineRule="exact"/>
        <w:rPr>
          <w:rFonts w:hint="eastAsia" w:ascii="楷体_GB2312" w:hAnsi="黑体" w:eastAsia="楷体_GB2312"/>
          <w:b/>
          <w:sz w:val="32"/>
          <w:szCs w:val="32"/>
        </w:rPr>
      </w:pPr>
      <w:r>
        <w:rPr>
          <w:rFonts w:hint="eastAsia" w:ascii="仿宋" w:hAnsi="仿宋" w:eastAsia="仿宋" w:cs="仿宋_GB2312"/>
          <w:kern w:val="0"/>
          <w:sz w:val="30"/>
          <w:szCs w:val="30"/>
          <w:lang w:val="en-US" w:eastAsia="zh-CN"/>
        </w:rPr>
        <w:t>附：《项目支出绩效自评表》</w:t>
      </w:r>
    </w:p>
    <w:tbl>
      <w:tblPr>
        <w:tblStyle w:val="7"/>
        <w:tblW w:w="9080" w:type="dxa"/>
        <w:jc w:val="center"/>
        <w:tblLayout w:type="fixed"/>
        <w:tblCellMar>
          <w:top w:w="0" w:type="dxa"/>
          <w:left w:w="108" w:type="dxa"/>
          <w:bottom w:w="0" w:type="dxa"/>
          <w:right w:w="108" w:type="dxa"/>
        </w:tblCellMar>
      </w:tblPr>
      <w:tblGrid>
        <w:gridCol w:w="588"/>
        <w:gridCol w:w="980"/>
        <w:gridCol w:w="1048"/>
        <w:gridCol w:w="64"/>
        <w:gridCol w:w="730"/>
        <w:gridCol w:w="1134"/>
        <w:gridCol w:w="284"/>
        <w:gridCol w:w="850"/>
        <w:gridCol w:w="851"/>
        <w:gridCol w:w="283"/>
        <w:gridCol w:w="284"/>
        <w:gridCol w:w="425"/>
        <w:gridCol w:w="142"/>
        <w:gridCol w:w="709"/>
        <w:gridCol w:w="708"/>
      </w:tblGrid>
      <w:tr w14:paraId="7BE47F23">
        <w:tblPrEx>
          <w:tblCellMar>
            <w:top w:w="0" w:type="dxa"/>
            <w:left w:w="108" w:type="dxa"/>
            <w:bottom w:w="0" w:type="dxa"/>
            <w:right w:w="108" w:type="dxa"/>
          </w:tblCellMar>
        </w:tblPrEx>
        <w:trPr>
          <w:trHeight w:val="454" w:hRule="exact"/>
          <w:jc w:val="center"/>
        </w:trPr>
        <w:tc>
          <w:tcPr>
            <w:tcW w:w="9080" w:type="dxa"/>
            <w:gridSpan w:val="15"/>
            <w:tcBorders>
              <w:top w:val="nil"/>
              <w:left w:val="nil"/>
              <w:bottom w:val="nil"/>
              <w:right w:val="nil"/>
            </w:tcBorders>
            <w:noWrap w:val="0"/>
            <w:vAlign w:val="center"/>
          </w:tcPr>
          <w:p w14:paraId="1BFE3249">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6899C990">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14:paraId="2C11CCCA">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14:paraId="02B3F09C">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26E3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14:paraId="3C85358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春节及“八一”走访慰问</w:t>
            </w:r>
          </w:p>
        </w:tc>
      </w:tr>
      <w:tr w14:paraId="5BD62F8B">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2C06E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14:paraId="422E32C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c>
          <w:tcPr>
            <w:tcW w:w="1134" w:type="dxa"/>
            <w:gridSpan w:val="2"/>
            <w:tcBorders>
              <w:top w:val="nil"/>
              <w:left w:val="nil"/>
              <w:bottom w:val="single" w:color="auto" w:sz="4" w:space="0"/>
              <w:right w:val="single" w:color="auto" w:sz="4" w:space="0"/>
            </w:tcBorders>
            <w:noWrap w:val="0"/>
            <w:vAlign w:val="center"/>
          </w:tcPr>
          <w:p w14:paraId="787400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1158F1B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r>
      <w:tr w14:paraId="360774C5">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AF242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14:paraId="2F1915A4">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6B3327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44B6FB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50EBD0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49AC13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4DA069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41FDB2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63DB406">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14613E">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241F398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59559DB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14:paraId="7D95F78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14:paraId="3203D93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noWrap w:val="0"/>
            <w:vAlign w:val="center"/>
          </w:tcPr>
          <w:p w14:paraId="4FC899E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5A9157F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22DA744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2747763F">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17568C">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46B967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6785AF2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14:paraId="1C544E8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134" w:type="dxa"/>
            <w:gridSpan w:val="2"/>
            <w:tcBorders>
              <w:top w:val="nil"/>
              <w:left w:val="nil"/>
              <w:bottom w:val="single" w:color="auto" w:sz="4" w:space="0"/>
              <w:right w:val="single" w:color="auto" w:sz="4" w:space="0"/>
            </w:tcBorders>
            <w:noWrap w:val="0"/>
            <w:vAlign w:val="center"/>
          </w:tcPr>
          <w:p w14:paraId="794B578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9" w:type="dxa"/>
            <w:gridSpan w:val="2"/>
            <w:tcBorders>
              <w:top w:val="nil"/>
              <w:left w:val="nil"/>
              <w:bottom w:val="single" w:color="auto" w:sz="4" w:space="0"/>
              <w:right w:val="single" w:color="auto" w:sz="4" w:space="0"/>
            </w:tcBorders>
            <w:noWrap w:val="0"/>
            <w:vAlign w:val="center"/>
          </w:tcPr>
          <w:p w14:paraId="1F11EE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069B590">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45D74D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5B7848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B99FB5">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7F193F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7A61B8B1">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180BFF1A">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9F512D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292C9A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87E2817">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17864E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E0A620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557204">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271495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76B07372">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BDCEF4D">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6E4AC822">
            <w:pPr>
              <w:widowControl/>
              <w:spacing w:line="240" w:lineRule="exact"/>
              <w:jc w:val="center"/>
              <w:rPr>
                <w:rFonts w:hint="default"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1AE5FDE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59D84C14">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0018C4D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D2EA809">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3E7698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14:paraId="3B98BF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14DAAB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8F32933">
        <w:tblPrEx>
          <w:tblCellMar>
            <w:top w:w="0" w:type="dxa"/>
            <w:left w:w="108" w:type="dxa"/>
            <w:bottom w:w="0" w:type="dxa"/>
            <w:right w:w="108" w:type="dxa"/>
          </w:tblCellMar>
        </w:tblPrEx>
        <w:trPr>
          <w:trHeight w:val="1126"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7CD914A8">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14:paraId="4F5B62B5">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完成各驻景部队的春节及八一慰问，完成慰问老战士和重点优抚对象、军休干部等人。</w:t>
            </w:r>
          </w:p>
        </w:tc>
        <w:tc>
          <w:tcPr>
            <w:tcW w:w="3402" w:type="dxa"/>
            <w:gridSpan w:val="7"/>
            <w:tcBorders>
              <w:top w:val="single" w:color="auto" w:sz="4" w:space="0"/>
              <w:left w:val="nil"/>
              <w:bottom w:val="single" w:color="auto" w:sz="4" w:space="0"/>
              <w:right w:val="single" w:color="auto" w:sz="4" w:space="0"/>
            </w:tcBorders>
            <w:noWrap w:val="0"/>
            <w:vAlign w:val="center"/>
          </w:tcPr>
          <w:p w14:paraId="0F39CF1A">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val="en-US" w:eastAsia="zh-CN"/>
              </w:rPr>
              <w:t>完成各驻景部队的春节及八一慰问，完成慰问老战士和重点优抚对象、军休干部等人。</w:t>
            </w:r>
          </w:p>
        </w:tc>
      </w:tr>
      <w:tr w14:paraId="3AC5A640">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04B2B5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31EAA0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48" w:type="dxa"/>
            <w:tcBorders>
              <w:top w:val="nil"/>
              <w:left w:val="nil"/>
              <w:bottom w:val="single" w:color="auto" w:sz="4" w:space="0"/>
              <w:right w:val="single" w:color="auto" w:sz="4" w:space="0"/>
            </w:tcBorders>
            <w:noWrap w:val="0"/>
            <w:vAlign w:val="center"/>
          </w:tcPr>
          <w:p w14:paraId="505FC0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212" w:type="dxa"/>
            <w:gridSpan w:val="4"/>
            <w:tcBorders>
              <w:top w:val="single" w:color="auto" w:sz="4" w:space="0"/>
              <w:left w:val="nil"/>
              <w:bottom w:val="single" w:color="auto" w:sz="4" w:space="0"/>
              <w:right w:val="single" w:color="auto" w:sz="4" w:space="0"/>
            </w:tcBorders>
            <w:noWrap w:val="0"/>
            <w:vAlign w:val="center"/>
          </w:tcPr>
          <w:p w14:paraId="232D01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755208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90E0FF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693EFB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AD60F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40F7278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4AC9E2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224396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5B74621">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0"/>
            <w:vAlign w:val="center"/>
          </w:tcPr>
          <w:p w14:paraId="21452756">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2FE7EF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48" w:type="dxa"/>
            <w:vMerge w:val="restart"/>
            <w:tcBorders>
              <w:top w:val="nil"/>
              <w:left w:val="single" w:color="auto" w:sz="4" w:space="0"/>
              <w:bottom w:val="single" w:color="auto" w:sz="4" w:space="0"/>
              <w:right w:val="single" w:color="auto" w:sz="4" w:space="0"/>
            </w:tcBorders>
            <w:noWrap w:val="0"/>
            <w:vAlign w:val="center"/>
          </w:tcPr>
          <w:p w14:paraId="6F0BEF5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212" w:type="dxa"/>
            <w:gridSpan w:val="4"/>
            <w:tcBorders>
              <w:top w:val="single" w:color="auto" w:sz="4" w:space="0"/>
              <w:left w:val="nil"/>
              <w:bottom w:val="single" w:color="auto" w:sz="4" w:space="0"/>
              <w:right w:val="single" w:color="auto" w:sz="4" w:space="0"/>
            </w:tcBorders>
            <w:noWrap w:val="0"/>
            <w:vAlign w:val="center"/>
          </w:tcPr>
          <w:p w14:paraId="088AC91C">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指标1：驻景部队走访完成率</w:t>
            </w:r>
          </w:p>
        </w:tc>
        <w:tc>
          <w:tcPr>
            <w:tcW w:w="850" w:type="dxa"/>
            <w:tcBorders>
              <w:top w:val="nil"/>
              <w:left w:val="nil"/>
              <w:bottom w:val="single" w:color="auto" w:sz="4" w:space="0"/>
              <w:right w:val="single" w:color="auto" w:sz="4" w:space="0"/>
            </w:tcBorders>
            <w:noWrap w:val="0"/>
            <w:vAlign w:val="center"/>
          </w:tcPr>
          <w:p w14:paraId="309A964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305D0B2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7C4DA31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11A3B0B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78E047F9">
            <w:pPr>
              <w:widowControl/>
              <w:spacing w:line="240" w:lineRule="exact"/>
              <w:jc w:val="center"/>
              <w:rPr>
                <w:rFonts w:ascii="宋体" w:hAnsi="宋体" w:eastAsia="宋体" w:cs="宋体"/>
                <w:kern w:val="0"/>
                <w:sz w:val="18"/>
                <w:szCs w:val="18"/>
              </w:rPr>
            </w:pPr>
          </w:p>
        </w:tc>
      </w:tr>
      <w:tr w14:paraId="1D6B4C5E">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14:paraId="2D1D25A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5E09D9C">
            <w:pPr>
              <w:widowControl/>
              <w:spacing w:line="240" w:lineRule="exact"/>
              <w:jc w:val="center"/>
              <w:rPr>
                <w:rFonts w:ascii="宋体" w:hAnsi="宋体" w:eastAsia="宋体" w:cs="宋体"/>
                <w:kern w:val="0"/>
                <w:sz w:val="18"/>
                <w:szCs w:val="18"/>
              </w:rPr>
            </w:pPr>
          </w:p>
        </w:tc>
        <w:tc>
          <w:tcPr>
            <w:tcW w:w="1048" w:type="dxa"/>
            <w:vMerge w:val="continue"/>
            <w:tcBorders>
              <w:top w:val="nil"/>
              <w:left w:val="single" w:color="auto" w:sz="4" w:space="0"/>
              <w:bottom w:val="single" w:color="auto" w:sz="4" w:space="0"/>
              <w:right w:val="single" w:color="auto" w:sz="4" w:space="0"/>
            </w:tcBorders>
            <w:noWrap w:val="0"/>
            <w:vAlign w:val="center"/>
          </w:tcPr>
          <w:p w14:paraId="1A69C7C4">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14:paraId="615EC44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指标2：春节及八一走访慰问次数</w:t>
            </w:r>
          </w:p>
        </w:tc>
        <w:tc>
          <w:tcPr>
            <w:tcW w:w="850" w:type="dxa"/>
            <w:tcBorders>
              <w:top w:val="nil"/>
              <w:left w:val="nil"/>
              <w:bottom w:val="single" w:color="auto" w:sz="4" w:space="0"/>
              <w:right w:val="single" w:color="auto" w:sz="4" w:space="0"/>
            </w:tcBorders>
            <w:noWrap w:val="0"/>
            <w:vAlign w:val="center"/>
          </w:tcPr>
          <w:p w14:paraId="462D9DC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2次</w:t>
            </w:r>
          </w:p>
        </w:tc>
        <w:tc>
          <w:tcPr>
            <w:tcW w:w="851" w:type="dxa"/>
            <w:tcBorders>
              <w:top w:val="nil"/>
              <w:left w:val="nil"/>
              <w:bottom w:val="single" w:color="auto" w:sz="4" w:space="0"/>
              <w:right w:val="single" w:color="auto" w:sz="4" w:space="0"/>
            </w:tcBorders>
            <w:noWrap w:val="0"/>
            <w:vAlign w:val="center"/>
          </w:tcPr>
          <w:p w14:paraId="48ABA1F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2次</w:t>
            </w:r>
          </w:p>
        </w:tc>
        <w:tc>
          <w:tcPr>
            <w:tcW w:w="567" w:type="dxa"/>
            <w:gridSpan w:val="2"/>
            <w:tcBorders>
              <w:top w:val="nil"/>
              <w:left w:val="nil"/>
              <w:bottom w:val="single" w:color="auto" w:sz="4" w:space="0"/>
              <w:right w:val="single" w:color="auto" w:sz="4" w:space="0"/>
            </w:tcBorders>
            <w:noWrap w:val="0"/>
            <w:vAlign w:val="center"/>
          </w:tcPr>
          <w:p w14:paraId="29B8666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14CF332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127FC120">
            <w:pPr>
              <w:widowControl/>
              <w:spacing w:line="240" w:lineRule="exact"/>
              <w:jc w:val="center"/>
              <w:rPr>
                <w:rFonts w:ascii="宋体" w:hAnsi="宋体" w:eastAsia="宋体" w:cs="宋体"/>
                <w:kern w:val="0"/>
                <w:sz w:val="18"/>
                <w:szCs w:val="18"/>
              </w:rPr>
            </w:pPr>
          </w:p>
        </w:tc>
      </w:tr>
      <w:tr w14:paraId="43123CA3">
        <w:tblPrEx>
          <w:tblCellMar>
            <w:top w:w="0" w:type="dxa"/>
            <w:left w:w="108" w:type="dxa"/>
            <w:bottom w:w="0" w:type="dxa"/>
            <w:right w:w="108" w:type="dxa"/>
          </w:tblCellMar>
        </w:tblPrEx>
        <w:trPr>
          <w:trHeight w:val="555" w:hRule="exact"/>
          <w:jc w:val="center"/>
        </w:trPr>
        <w:tc>
          <w:tcPr>
            <w:tcW w:w="588" w:type="dxa"/>
            <w:vMerge w:val="continue"/>
            <w:tcBorders>
              <w:left w:val="single" w:color="auto" w:sz="4" w:space="0"/>
              <w:right w:val="single" w:color="auto" w:sz="4" w:space="0"/>
            </w:tcBorders>
            <w:noWrap w:val="0"/>
            <w:vAlign w:val="center"/>
          </w:tcPr>
          <w:p w14:paraId="6EF9792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6648DE5">
            <w:pPr>
              <w:widowControl/>
              <w:spacing w:line="240" w:lineRule="exact"/>
              <w:jc w:val="center"/>
              <w:rPr>
                <w:rFonts w:ascii="宋体" w:hAnsi="宋体" w:eastAsia="宋体" w:cs="宋体"/>
                <w:kern w:val="0"/>
                <w:sz w:val="18"/>
                <w:szCs w:val="18"/>
              </w:rPr>
            </w:pPr>
          </w:p>
        </w:tc>
        <w:tc>
          <w:tcPr>
            <w:tcW w:w="1048" w:type="dxa"/>
            <w:tcBorders>
              <w:top w:val="nil"/>
              <w:left w:val="single" w:color="auto" w:sz="4" w:space="0"/>
              <w:bottom w:val="single" w:color="auto" w:sz="4" w:space="0"/>
              <w:right w:val="single" w:color="auto" w:sz="4" w:space="0"/>
            </w:tcBorders>
            <w:noWrap w:val="0"/>
            <w:vAlign w:val="center"/>
          </w:tcPr>
          <w:p w14:paraId="71808A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212" w:type="dxa"/>
            <w:gridSpan w:val="4"/>
            <w:tcBorders>
              <w:top w:val="single" w:color="auto" w:sz="4" w:space="0"/>
              <w:left w:val="nil"/>
              <w:bottom w:val="single" w:color="auto" w:sz="4" w:space="0"/>
              <w:right w:val="single" w:color="auto" w:sz="4" w:space="0"/>
            </w:tcBorders>
            <w:noWrap w:val="0"/>
            <w:vAlign w:val="center"/>
          </w:tcPr>
          <w:p w14:paraId="523B99B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指标1：走访慰问资金使用合规率</w:t>
            </w:r>
          </w:p>
        </w:tc>
        <w:tc>
          <w:tcPr>
            <w:tcW w:w="850" w:type="dxa"/>
            <w:tcBorders>
              <w:top w:val="nil"/>
              <w:left w:val="nil"/>
              <w:bottom w:val="single" w:color="auto" w:sz="4" w:space="0"/>
              <w:right w:val="single" w:color="auto" w:sz="4" w:space="0"/>
            </w:tcBorders>
            <w:noWrap w:val="0"/>
            <w:vAlign w:val="center"/>
          </w:tcPr>
          <w:p w14:paraId="3FD9480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2AB173C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1F78F4D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C7E4AE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18C8CB6B">
            <w:pPr>
              <w:widowControl/>
              <w:spacing w:line="240" w:lineRule="exact"/>
              <w:jc w:val="center"/>
              <w:rPr>
                <w:rFonts w:ascii="宋体" w:hAnsi="宋体" w:eastAsia="宋体" w:cs="宋体"/>
                <w:kern w:val="0"/>
                <w:sz w:val="18"/>
                <w:szCs w:val="18"/>
              </w:rPr>
            </w:pPr>
          </w:p>
        </w:tc>
      </w:tr>
      <w:tr w14:paraId="11D9D71B">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14:paraId="64CB0F5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278D2E8">
            <w:pPr>
              <w:widowControl/>
              <w:spacing w:line="240" w:lineRule="exact"/>
              <w:jc w:val="center"/>
              <w:rPr>
                <w:rFonts w:ascii="宋体" w:hAnsi="宋体" w:eastAsia="宋体" w:cs="宋体"/>
                <w:kern w:val="0"/>
                <w:sz w:val="18"/>
                <w:szCs w:val="18"/>
              </w:rPr>
            </w:pPr>
          </w:p>
        </w:tc>
        <w:tc>
          <w:tcPr>
            <w:tcW w:w="1048" w:type="dxa"/>
            <w:tcBorders>
              <w:top w:val="nil"/>
              <w:left w:val="single" w:color="auto" w:sz="4" w:space="0"/>
              <w:bottom w:val="single" w:color="auto" w:sz="4" w:space="0"/>
              <w:right w:val="single" w:color="auto" w:sz="4" w:space="0"/>
            </w:tcBorders>
            <w:noWrap w:val="0"/>
            <w:vAlign w:val="center"/>
          </w:tcPr>
          <w:p w14:paraId="28DFDD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212" w:type="dxa"/>
            <w:gridSpan w:val="4"/>
            <w:tcBorders>
              <w:top w:val="single" w:color="auto" w:sz="4" w:space="0"/>
              <w:left w:val="nil"/>
              <w:bottom w:val="single" w:color="auto" w:sz="4" w:space="0"/>
              <w:right w:val="single" w:color="auto" w:sz="4" w:space="0"/>
            </w:tcBorders>
            <w:noWrap w:val="0"/>
            <w:vAlign w:val="center"/>
          </w:tcPr>
          <w:p w14:paraId="0D51AC35">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指标1：走访慰问工作及时性</w:t>
            </w:r>
          </w:p>
        </w:tc>
        <w:tc>
          <w:tcPr>
            <w:tcW w:w="850" w:type="dxa"/>
            <w:tcBorders>
              <w:top w:val="nil"/>
              <w:left w:val="nil"/>
              <w:bottom w:val="single" w:color="auto" w:sz="4" w:space="0"/>
              <w:right w:val="single" w:color="auto" w:sz="4" w:space="0"/>
            </w:tcBorders>
            <w:noWrap w:val="0"/>
            <w:vAlign w:val="center"/>
          </w:tcPr>
          <w:p w14:paraId="223847E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0B95D0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674B065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00F0AB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7BA6647A">
            <w:pPr>
              <w:widowControl/>
              <w:spacing w:line="240" w:lineRule="exact"/>
              <w:jc w:val="center"/>
              <w:rPr>
                <w:rFonts w:ascii="宋体" w:hAnsi="宋体" w:eastAsia="宋体" w:cs="宋体"/>
                <w:kern w:val="0"/>
                <w:sz w:val="18"/>
                <w:szCs w:val="18"/>
              </w:rPr>
            </w:pPr>
          </w:p>
        </w:tc>
      </w:tr>
      <w:tr w14:paraId="7CD3F98E">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14:paraId="6D2B4EAF">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25FEAF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48" w:type="dxa"/>
            <w:vMerge w:val="restart"/>
            <w:tcBorders>
              <w:top w:val="nil"/>
              <w:left w:val="single" w:color="auto" w:sz="4" w:space="0"/>
              <w:right w:val="single" w:color="auto" w:sz="4" w:space="0"/>
            </w:tcBorders>
            <w:noWrap w:val="0"/>
            <w:vAlign w:val="center"/>
          </w:tcPr>
          <w:p w14:paraId="747C0A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62C0C4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p w14:paraId="26660AF2">
            <w:pPr>
              <w:widowControl/>
              <w:spacing w:line="240" w:lineRule="exact"/>
              <w:jc w:val="center"/>
              <w:rPr>
                <w:rFonts w:hint="eastAsia"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14:paraId="0EAA075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379F20D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650269C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D75A91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F96073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6708471">
            <w:pPr>
              <w:widowControl/>
              <w:spacing w:line="240" w:lineRule="exact"/>
              <w:jc w:val="center"/>
              <w:rPr>
                <w:rFonts w:ascii="宋体" w:hAnsi="宋体" w:eastAsia="宋体" w:cs="宋体"/>
                <w:kern w:val="0"/>
                <w:sz w:val="18"/>
                <w:szCs w:val="18"/>
              </w:rPr>
            </w:pPr>
          </w:p>
        </w:tc>
      </w:tr>
      <w:tr w14:paraId="54E1D957">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14:paraId="59C3436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2F1FC41">
            <w:pPr>
              <w:widowControl/>
              <w:spacing w:line="240" w:lineRule="exact"/>
              <w:jc w:val="center"/>
              <w:rPr>
                <w:rFonts w:ascii="宋体" w:hAnsi="宋体" w:eastAsia="宋体" w:cs="宋体"/>
                <w:kern w:val="0"/>
                <w:sz w:val="18"/>
                <w:szCs w:val="18"/>
              </w:rPr>
            </w:pPr>
          </w:p>
        </w:tc>
        <w:tc>
          <w:tcPr>
            <w:tcW w:w="1048" w:type="dxa"/>
            <w:vMerge w:val="continue"/>
            <w:tcBorders>
              <w:left w:val="single" w:color="auto" w:sz="4" w:space="0"/>
              <w:bottom w:val="single" w:color="auto" w:sz="4" w:space="0"/>
              <w:right w:val="single" w:color="auto" w:sz="4" w:space="0"/>
            </w:tcBorders>
            <w:noWrap w:val="0"/>
            <w:vAlign w:val="center"/>
          </w:tcPr>
          <w:p w14:paraId="289AA736">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14:paraId="56C6688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342044B1">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32D1AA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0E5D02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B32538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4BF3BBB">
            <w:pPr>
              <w:widowControl/>
              <w:spacing w:line="240" w:lineRule="exact"/>
              <w:jc w:val="center"/>
              <w:rPr>
                <w:rFonts w:ascii="宋体" w:hAnsi="宋体" w:eastAsia="宋体" w:cs="宋体"/>
                <w:kern w:val="0"/>
                <w:sz w:val="18"/>
                <w:szCs w:val="18"/>
              </w:rPr>
            </w:pPr>
          </w:p>
        </w:tc>
      </w:tr>
      <w:tr w14:paraId="77C908ED">
        <w:tblPrEx>
          <w:tblCellMar>
            <w:top w:w="0" w:type="dxa"/>
            <w:left w:w="108" w:type="dxa"/>
            <w:bottom w:w="0" w:type="dxa"/>
            <w:right w:w="108" w:type="dxa"/>
          </w:tblCellMar>
        </w:tblPrEx>
        <w:trPr>
          <w:trHeight w:val="585" w:hRule="exact"/>
          <w:jc w:val="center"/>
        </w:trPr>
        <w:tc>
          <w:tcPr>
            <w:tcW w:w="588" w:type="dxa"/>
            <w:vMerge w:val="continue"/>
            <w:tcBorders>
              <w:left w:val="single" w:color="auto" w:sz="4" w:space="0"/>
              <w:right w:val="single" w:color="auto" w:sz="4" w:space="0"/>
            </w:tcBorders>
            <w:noWrap w:val="0"/>
            <w:vAlign w:val="center"/>
          </w:tcPr>
          <w:p w14:paraId="7CBB3BD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AB3AF86">
            <w:pPr>
              <w:widowControl/>
              <w:spacing w:line="240" w:lineRule="exact"/>
              <w:jc w:val="center"/>
              <w:rPr>
                <w:rFonts w:ascii="宋体" w:hAnsi="宋体" w:eastAsia="宋体" w:cs="宋体"/>
                <w:kern w:val="0"/>
                <w:sz w:val="18"/>
                <w:szCs w:val="18"/>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A760A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86980AE">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指标</w:t>
            </w:r>
          </w:p>
        </w:tc>
        <w:tc>
          <w:tcPr>
            <w:tcW w:w="2212" w:type="dxa"/>
            <w:gridSpan w:val="4"/>
            <w:tcBorders>
              <w:top w:val="single" w:color="auto" w:sz="4" w:space="0"/>
              <w:left w:val="nil"/>
              <w:bottom w:val="single" w:color="auto" w:sz="4" w:space="0"/>
              <w:right w:val="single" w:color="auto" w:sz="4" w:space="0"/>
            </w:tcBorders>
            <w:noWrap w:val="0"/>
            <w:vAlign w:val="center"/>
          </w:tcPr>
          <w:p w14:paraId="245AA7CF">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指标1：军人荣誉感认知度</w:t>
            </w:r>
          </w:p>
        </w:tc>
        <w:tc>
          <w:tcPr>
            <w:tcW w:w="850" w:type="dxa"/>
            <w:tcBorders>
              <w:top w:val="single" w:color="auto" w:sz="4" w:space="0"/>
              <w:left w:val="nil"/>
              <w:bottom w:val="single" w:color="auto" w:sz="4" w:space="0"/>
              <w:right w:val="single" w:color="auto" w:sz="4" w:space="0"/>
            </w:tcBorders>
            <w:noWrap w:val="0"/>
            <w:vAlign w:val="center"/>
          </w:tcPr>
          <w:p w14:paraId="5373B31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single" w:color="auto" w:sz="4" w:space="0"/>
              <w:left w:val="nil"/>
              <w:bottom w:val="single" w:color="auto" w:sz="4" w:space="0"/>
              <w:right w:val="single" w:color="auto" w:sz="4" w:space="0"/>
            </w:tcBorders>
            <w:noWrap w:val="0"/>
            <w:vAlign w:val="center"/>
          </w:tcPr>
          <w:p w14:paraId="60B0ECE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single" w:color="auto" w:sz="4" w:space="0"/>
              <w:left w:val="nil"/>
              <w:bottom w:val="single" w:color="auto" w:sz="4" w:space="0"/>
              <w:right w:val="single" w:color="auto" w:sz="4" w:space="0"/>
            </w:tcBorders>
            <w:noWrap w:val="0"/>
            <w:vAlign w:val="center"/>
          </w:tcPr>
          <w:p w14:paraId="204D11F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single" w:color="auto" w:sz="4" w:space="0"/>
              <w:left w:val="nil"/>
              <w:bottom w:val="single" w:color="auto" w:sz="4" w:space="0"/>
              <w:right w:val="single" w:color="auto" w:sz="4" w:space="0"/>
            </w:tcBorders>
            <w:noWrap w:val="0"/>
            <w:vAlign w:val="center"/>
          </w:tcPr>
          <w:p w14:paraId="6B9CC3F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17AB1823">
            <w:pPr>
              <w:widowControl/>
              <w:spacing w:line="240" w:lineRule="exact"/>
              <w:jc w:val="center"/>
              <w:rPr>
                <w:rFonts w:ascii="宋体" w:hAnsi="宋体" w:eastAsia="宋体" w:cs="宋体"/>
                <w:kern w:val="0"/>
                <w:sz w:val="18"/>
                <w:szCs w:val="18"/>
                <w:lang w:val="en-US" w:eastAsia="zh-CN" w:bidi="ar-SA"/>
              </w:rPr>
            </w:pPr>
          </w:p>
        </w:tc>
      </w:tr>
      <w:tr w14:paraId="30493D35">
        <w:tblPrEx>
          <w:tblCellMar>
            <w:top w:w="0" w:type="dxa"/>
            <w:left w:w="108" w:type="dxa"/>
            <w:bottom w:w="0" w:type="dxa"/>
            <w:right w:w="108" w:type="dxa"/>
          </w:tblCellMar>
        </w:tblPrEx>
        <w:trPr>
          <w:trHeight w:val="564" w:hRule="exact"/>
          <w:jc w:val="center"/>
        </w:trPr>
        <w:tc>
          <w:tcPr>
            <w:tcW w:w="588" w:type="dxa"/>
            <w:vMerge w:val="continue"/>
            <w:tcBorders>
              <w:left w:val="single" w:color="auto" w:sz="4" w:space="0"/>
              <w:right w:val="single" w:color="auto" w:sz="4" w:space="0"/>
            </w:tcBorders>
            <w:noWrap w:val="0"/>
            <w:vAlign w:val="center"/>
          </w:tcPr>
          <w:p w14:paraId="2493432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6484E01">
            <w:pPr>
              <w:widowControl/>
              <w:spacing w:line="240" w:lineRule="exact"/>
              <w:jc w:val="center"/>
              <w:rPr>
                <w:rFonts w:ascii="宋体" w:hAnsi="宋体" w:eastAsia="宋体" w:cs="宋体"/>
                <w:kern w:val="0"/>
                <w:sz w:val="18"/>
                <w:szCs w:val="18"/>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7FA6D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07E755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212" w:type="dxa"/>
            <w:gridSpan w:val="4"/>
            <w:tcBorders>
              <w:top w:val="single" w:color="auto" w:sz="4" w:space="0"/>
              <w:left w:val="nil"/>
              <w:bottom w:val="single" w:color="auto" w:sz="4" w:space="0"/>
              <w:right w:val="single" w:color="auto" w:sz="4" w:space="0"/>
            </w:tcBorders>
            <w:noWrap w:val="0"/>
            <w:vAlign w:val="center"/>
          </w:tcPr>
          <w:p w14:paraId="3613F8D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p>
        </w:tc>
        <w:tc>
          <w:tcPr>
            <w:tcW w:w="850" w:type="dxa"/>
            <w:tcBorders>
              <w:top w:val="single" w:color="auto" w:sz="4" w:space="0"/>
              <w:left w:val="nil"/>
              <w:bottom w:val="single" w:color="auto" w:sz="4" w:space="0"/>
              <w:right w:val="single" w:color="auto" w:sz="4" w:space="0"/>
            </w:tcBorders>
            <w:noWrap w:val="0"/>
            <w:vAlign w:val="center"/>
          </w:tcPr>
          <w:p w14:paraId="549A780D">
            <w:pPr>
              <w:widowControl/>
              <w:spacing w:line="240" w:lineRule="exact"/>
              <w:jc w:val="center"/>
              <w:rPr>
                <w:rFonts w:hint="default" w:ascii="宋体" w:hAnsi="宋体" w:eastAsia="宋体" w:cs="宋体"/>
                <w:kern w:val="0"/>
                <w:sz w:val="18"/>
                <w:szCs w:val="18"/>
                <w:lang w:val="en-US" w:eastAsia="zh-CN"/>
              </w:rPr>
            </w:pPr>
          </w:p>
        </w:tc>
        <w:tc>
          <w:tcPr>
            <w:tcW w:w="851" w:type="dxa"/>
            <w:tcBorders>
              <w:top w:val="single" w:color="auto" w:sz="4" w:space="0"/>
              <w:left w:val="nil"/>
              <w:bottom w:val="single" w:color="auto" w:sz="4" w:space="0"/>
              <w:right w:val="single" w:color="auto" w:sz="4" w:space="0"/>
            </w:tcBorders>
            <w:noWrap w:val="0"/>
            <w:vAlign w:val="center"/>
          </w:tcPr>
          <w:p w14:paraId="11ACED24">
            <w:pPr>
              <w:widowControl/>
              <w:spacing w:line="240" w:lineRule="exact"/>
              <w:jc w:val="center"/>
              <w:rPr>
                <w:rFonts w:hint="default" w:ascii="宋体" w:hAnsi="宋体" w:eastAsia="宋体" w:cs="宋体"/>
                <w:kern w:val="0"/>
                <w:sz w:val="18"/>
                <w:szCs w:val="18"/>
                <w:lang w:val="en-US" w:eastAsia="zh-CN"/>
              </w:rPr>
            </w:pPr>
          </w:p>
        </w:tc>
        <w:tc>
          <w:tcPr>
            <w:tcW w:w="567" w:type="dxa"/>
            <w:gridSpan w:val="2"/>
            <w:tcBorders>
              <w:top w:val="single" w:color="auto" w:sz="4" w:space="0"/>
              <w:left w:val="nil"/>
              <w:bottom w:val="single" w:color="auto" w:sz="4" w:space="0"/>
              <w:right w:val="single" w:color="auto" w:sz="4" w:space="0"/>
            </w:tcBorders>
            <w:noWrap w:val="0"/>
            <w:vAlign w:val="center"/>
          </w:tcPr>
          <w:p w14:paraId="3DFF792A">
            <w:pPr>
              <w:widowControl/>
              <w:spacing w:line="240" w:lineRule="exact"/>
              <w:jc w:val="center"/>
              <w:rPr>
                <w:rFonts w:hint="default" w:ascii="宋体" w:hAnsi="宋体" w:eastAsia="宋体" w:cs="宋体"/>
                <w:kern w:val="0"/>
                <w:sz w:val="18"/>
                <w:szCs w:val="18"/>
                <w:lang w:val="en-US" w:eastAsia="zh-CN"/>
              </w:rPr>
            </w:pPr>
          </w:p>
        </w:tc>
        <w:tc>
          <w:tcPr>
            <w:tcW w:w="567" w:type="dxa"/>
            <w:gridSpan w:val="2"/>
            <w:tcBorders>
              <w:top w:val="single" w:color="auto" w:sz="4" w:space="0"/>
              <w:left w:val="nil"/>
              <w:bottom w:val="single" w:color="auto" w:sz="4" w:space="0"/>
              <w:right w:val="single" w:color="auto" w:sz="4" w:space="0"/>
            </w:tcBorders>
            <w:noWrap w:val="0"/>
            <w:vAlign w:val="center"/>
          </w:tcPr>
          <w:p w14:paraId="797B5144">
            <w:pPr>
              <w:widowControl/>
              <w:spacing w:line="240" w:lineRule="exact"/>
              <w:jc w:val="center"/>
              <w:rPr>
                <w:rFonts w:hint="default" w:ascii="宋体" w:hAnsi="宋体" w:eastAsia="宋体" w:cs="宋体"/>
                <w:kern w:val="0"/>
                <w:sz w:val="18"/>
                <w:szCs w:val="18"/>
                <w:lang w:val="en-US" w:eastAsia="zh-CN"/>
              </w:rPr>
            </w:pPr>
          </w:p>
        </w:tc>
        <w:tc>
          <w:tcPr>
            <w:tcW w:w="1417" w:type="dxa"/>
            <w:gridSpan w:val="2"/>
            <w:tcBorders>
              <w:top w:val="single" w:color="auto" w:sz="4" w:space="0"/>
              <w:left w:val="nil"/>
              <w:bottom w:val="single" w:color="auto" w:sz="4" w:space="0"/>
              <w:right w:val="single" w:color="auto" w:sz="4" w:space="0"/>
            </w:tcBorders>
            <w:noWrap w:val="0"/>
            <w:vAlign w:val="center"/>
          </w:tcPr>
          <w:p w14:paraId="79AD8A02">
            <w:pPr>
              <w:widowControl/>
              <w:spacing w:line="240" w:lineRule="exact"/>
              <w:jc w:val="center"/>
              <w:rPr>
                <w:rFonts w:ascii="宋体" w:hAnsi="宋体" w:eastAsia="宋体" w:cs="宋体"/>
                <w:kern w:val="0"/>
                <w:sz w:val="18"/>
                <w:szCs w:val="18"/>
              </w:rPr>
            </w:pPr>
          </w:p>
        </w:tc>
      </w:tr>
      <w:tr w14:paraId="64C1105D">
        <w:tblPrEx>
          <w:tblCellMar>
            <w:top w:w="0" w:type="dxa"/>
            <w:left w:w="108" w:type="dxa"/>
            <w:bottom w:w="0" w:type="dxa"/>
            <w:right w:w="108" w:type="dxa"/>
          </w:tblCellMar>
        </w:tblPrEx>
        <w:trPr>
          <w:trHeight w:val="645" w:hRule="exact"/>
          <w:jc w:val="center"/>
        </w:trPr>
        <w:tc>
          <w:tcPr>
            <w:tcW w:w="588" w:type="dxa"/>
            <w:vMerge w:val="continue"/>
            <w:tcBorders>
              <w:left w:val="single" w:color="auto" w:sz="4" w:space="0"/>
              <w:right w:val="single" w:color="auto" w:sz="4" w:space="0"/>
            </w:tcBorders>
            <w:noWrap w:val="0"/>
            <w:vAlign w:val="center"/>
          </w:tcPr>
          <w:p w14:paraId="632D3B2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267CE38">
            <w:pPr>
              <w:widowControl/>
              <w:spacing w:line="240" w:lineRule="exact"/>
              <w:jc w:val="center"/>
              <w:rPr>
                <w:rFonts w:ascii="宋体" w:hAnsi="宋体" w:eastAsia="宋体" w:cs="宋体"/>
                <w:kern w:val="0"/>
                <w:sz w:val="18"/>
                <w:szCs w:val="18"/>
              </w:rPr>
            </w:pPr>
          </w:p>
        </w:tc>
        <w:tc>
          <w:tcPr>
            <w:tcW w:w="1048" w:type="dxa"/>
            <w:vMerge w:val="restart"/>
            <w:tcBorders>
              <w:top w:val="nil"/>
              <w:left w:val="single" w:color="auto" w:sz="4" w:space="0"/>
              <w:bottom w:val="single" w:color="auto" w:sz="4" w:space="0"/>
              <w:right w:val="single" w:color="auto" w:sz="4" w:space="0"/>
            </w:tcBorders>
            <w:noWrap w:val="0"/>
            <w:vAlign w:val="center"/>
          </w:tcPr>
          <w:p w14:paraId="7A057C5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可持续影响指标</w:t>
            </w:r>
          </w:p>
        </w:tc>
        <w:tc>
          <w:tcPr>
            <w:tcW w:w="2212" w:type="dxa"/>
            <w:gridSpan w:val="4"/>
            <w:tcBorders>
              <w:top w:val="single" w:color="auto" w:sz="4" w:space="0"/>
              <w:left w:val="nil"/>
              <w:bottom w:val="single" w:color="auto" w:sz="4" w:space="0"/>
              <w:right w:val="single" w:color="auto" w:sz="4" w:space="0"/>
            </w:tcBorders>
            <w:noWrap w:val="0"/>
            <w:vAlign w:val="center"/>
          </w:tcPr>
          <w:p w14:paraId="7AE8EF3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指标1：走访慰问专项资金保障率</w:t>
            </w:r>
          </w:p>
        </w:tc>
        <w:tc>
          <w:tcPr>
            <w:tcW w:w="850" w:type="dxa"/>
            <w:tcBorders>
              <w:top w:val="nil"/>
              <w:left w:val="nil"/>
              <w:bottom w:val="single" w:color="auto" w:sz="4" w:space="0"/>
              <w:right w:val="single" w:color="auto" w:sz="4" w:space="0"/>
            </w:tcBorders>
            <w:noWrap w:val="0"/>
            <w:vAlign w:val="center"/>
          </w:tcPr>
          <w:p w14:paraId="314E7A1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432D79E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593C86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6063F4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C56071D">
            <w:pPr>
              <w:widowControl/>
              <w:spacing w:line="240" w:lineRule="exact"/>
              <w:jc w:val="center"/>
              <w:rPr>
                <w:rFonts w:ascii="宋体" w:hAnsi="宋体" w:eastAsia="宋体" w:cs="宋体"/>
                <w:kern w:val="0"/>
                <w:sz w:val="18"/>
                <w:szCs w:val="18"/>
                <w:lang w:val="en-US" w:eastAsia="zh-CN" w:bidi="ar-SA"/>
              </w:rPr>
            </w:pPr>
          </w:p>
        </w:tc>
      </w:tr>
      <w:tr w14:paraId="74C1215F">
        <w:tblPrEx>
          <w:tblCellMar>
            <w:top w:w="0" w:type="dxa"/>
            <w:left w:w="108" w:type="dxa"/>
            <w:bottom w:w="0" w:type="dxa"/>
            <w:right w:w="108" w:type="dxa"/>
          </w:tblCellMar>
        </w:tblPrEx>
        <w:trPr>
          <w:trHeight w:val="435" w:hRule="exact"/>
          <w:jc w:val="center"/>
        </w:trPr>
        <w:tc>
          <w:tcPr>
            <w:tcW w:w="588" w:type="dxa"/>
            <w:vMerge w:val="continue"/>
            <w:tcBorders>
              <w:left w:val="single" w:color="auto" w:sz="4" w:space="0"/>
              <w:right w:val="single" w:color="auto" w:sz="4" w:space="0"/>
            </w:tcBorders>
            <w:noWrap w:val="0"/>
            <w:vAlign w:val="center"/>
          </w:tcPr>
          <w:p w14:paraId="575F0E29">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579C541">
            <w:pPr>
              <w:widowControl/>
              <w:spacing w:line="240" w:lineRule="exact"/>
              <w:jc w:val="center"/>
              <w:rPr>
                <w:rFonts w:ascii="宋体" w:hAnsi="宋体" w:eastAsia="宋体" w:cs="宋体"/>
                <w:kern w:val="0"/>
                <w:sz w:val="18"/>
                <w:szCs w:val="18"/>
              </w:rPr>
            </w:pPr>
          </w:p>
        </w:tc>
        <w:tc>
          <w:tcPr>
            <w:tcW w:w="1048" w:type="dxa"/>
            <w:vMerge w:val="continue"/>
            <w:tcBorders>
              <w:top w:val="nil"/>
              <w:left w:val="single" w:color="auto" w:sz="4" w:space="0"/>
              <w:bottom w:val="single" w:color="auto" w:sz="4" w:space="0"/>
              <w:right w:val="single" w:color="auto" w:sz="4" w:space="0"/>
            </w:tcBorders>
            <w:noWrap w:val="0"/>
            <w:vAlign w:val="center"/>
          </w:tcPr>
          <w:p w14:paraId="29370ED3">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14:paraId="2D14603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0501B15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7441F8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1D9CBE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5961204">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26DABDE">
            <w:pPr>
              <w:widowControl/>
              <w:spacing w:line="240" w:lineRule="exact"/>
              <w:jc w:val="center"/>
              <w:rPr>
                <w:rFonts w:ascii="宋体" w:hAnsi="宋体" w:eastAsia="宋体" w:cs="宋体"/>
                <w:kern w:val="0"/>
                <w:sz w:val="18"/>
                <w:szCs w:val="18"/>
              </w:rPr>
            </w:pPr>
          </w:p>
        </w:tc>
      </w:tr>
      <w:tr w14:paraId="46A11C13">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14:paraId="05250559">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459997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1FF045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48" w:type="dxa"/>
            <w:vMerge w:val="restart"/>
            <w:tcBorders>
              <w:top w:val="nil"/>
              <w:left w:val="single" w:color="auto" w:sz="4" w:space="0"/>
              <w:bottom w:val="single" w:color="auto" w:sz="4" w:space="0"/>
              <w:right w:val="single" w:color="auto" w:sz="4" w:space="0"/>
            </w:tcBorders>
            <w:noWrap w:val="0"/>
            <w:vAlign w:val="center"/>
          </w:tcPr>
          <w:p w14:paraId="31C5C8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212" w:type="dxa"/>
            <w:gridSpan w:val="4"/>
            <w:tcBorders>
              <w:top w:val="single" w:color="auto" w:sz="4" w:space="0"/>
              <w:left w:val="nil"/>
              <w:bottom w:val="single" w:color="auto" w:sz="4" w:space="0"/>
              <w:right w:val="single" w:color="auto" w:sz="4" w:space="0"/>
            </w:tcBorders>
            <w:noWrap w:val="0"/>
            <w:vAlign w:val="center"/>
          </w:tcPr>
          <w:p w14:paraId="79A90F68">
            <w:pPr>
              <w:widowControl/>
              <w:spacing w:line="240" w:lineRule="exact"/>
              <w:jc w:val="left"/>
              <w:rPr>
                <w:rFonts w:hint="default"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指标1：部队满意度</w:t>
            </w:r>
          </w:p>
        </w:tc>
        <w:tc>
          <w:tcPr>
            <w:tcW w:w="850" w:type="dxa"/>
            <w:tcBorders>
              <w:top w:val="nil"/>
              <w:left w:val="nil"/>
              <w:bottom w:val="single" w:color="auto" w:sz="4" w:space="0"/>
              <w:right w:val="single" w:color="auto" w:sz="4" w:space="0"/>
            </w:tcBorders>
            <w:noWrap w:val="0"/>
            <w:vAlign w:val="center"/>
          </w:tcPr>
          <w:p w14:paraId="156B52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270236A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0126A8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7DBFFD4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2832FF2E">
            <w:pPr>
              <w:widowControl/>
              <w:spacing w:line="240" w:lineRule="exact"/>
              <w:jc w:val="center"/>
              <w:rPr>
                <w:rFonts w:ascii="宋体" w:hAnsi="宋体" w:eastAsia="宋体" w:cs="宋体"/>
                <w:kern w:val="0"/>
                <w:sz w:val="18"/>
                <w:szCs w:val="18"/>
              </w:rPr>
            </w:pPr>
          </w:p>
        </w:tc>
      </w:tr>
      <w:tr w14:paraId="349A5D36">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0"/>
            <w:vAlign w:val="center"/>
          </w:tcPr>
          <w:p w14:paraId="15478FFF">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2F755C40">
            <w:pPr>
              <w:widowControl/>
              <w:spacing w:line="240" w:lineRule="exact"/>
              <w:jc w:val="center"/>
              <w:rPr>
                <w:rFonts w:hint="eastAsia" w:ascii="宋体" w:hAnsi="宋体" w:eastAsia="宋体" w:cs="宋体"/>
                <w:kern w:val="0"/>
                <w:sz w:val="18"/>
                <w:szCs w:val="18"/>
              </w:rPr>
            </w:pPr>
          </w:p>
        </w:tc>
        <w:tc>
          <w:tcPr>
            <w:tcW w:w="1048" w:type="dxa"/>
            <w:vMerge w:val="continue"/>
            <w:tcBorders>
              <w:left w:val="single" w:color="auto" w:sz="4" w:space="0"/>
              <w:right w:val="single" w:color="auto" w:sz="4" w:space="0"/>
            </w:tcBorders>
            <w:noWrap w:val="0"/>
            <w:vAlign w:val="center"/>
          </w:tcPr>
          <w:p w14:paraId="0EAE7B79">
            <w:pPr>
              <w:widowControl/>
              <w:spacing w:line="240" w:lineRule="exact"/>
              <w:jc w:val="center"/>
              <w:rPr>
                <w:rFonts w:hint="eastAsia"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14:paraId="08148255">
            <w:pPr>
              <w:widowControl/>
              <w:spacing w:line="240" w:lineRule="exact"/>
              <w:jc w:val="left"/>
              <w:rPr>
                <w:rFonts w:hint="default" w:ascii="宋体" w:hAnsi="宋体" w:eastAsia="宋体" w:cs="宋体"/>
                <w:color w:val="000000"/>
                <w:kern w:val="0"/>
                <w:sz w:val="18"/>
                <w:szCs w:val="18"/>
                <w:lang w:val="en-US" w:eastAsia="zh-CN"/>
              </w:rPr>
            </w:pPr>
          </w:p>
        </w:tc>
        <w:tc>
          <w:tcPr>
            <w:tcW w:w="850" w:type="dxa"/>
            <w:tcBorders>
              <w:top w:val="nil"/>
              <w:left w:val="nil"/>
              <w:bottom w:val="single" w:color="auto" w:sz="4" w:space="0"/>
              <w:right w:val="single" w:color="auto" w:sz="4" w:space="0"/>
            </w:tcBorders>
            <w:noWrap w:val="0"/>
            <w:vAlign w:val="center"/>
          </w:tcPr>
          <w:p w14:paraId="702B46A0">
            <w:pPr>
              <w:widowControl/>
              <w:spacing w:line="240" w:lineRule="exact"/>
              <w:jc w:val="center"/>
              <w:rPr>
                <w:rFonts w:hint="eastAsia" w:ascii="宋体" w:hAnsi="宋体" w:eastAsia="宋体" w:cs="宋体"/>
                <w:kern w:val="0"/>
                <w:sz w:val="18"/>
                <w:szCs w:val="18"/>
                <w:lang w:val="en-US" w:eastAsia="zh-CN"/>
              </w:rPr>
            </w:pPr>
          </w:p>
        </w:tc>
        <w:tc>
          <w:tcPr>
            <w:tcW w:w="851" w:type="dxa"/>
            <w:tcBorders>
              <w:top w:val="nil"/>
              <w:left w:val="nil"/>
              <w:bottom w:val="single" w:color="auto" w:sz="4" w:space="0"/>
              <w:right w:val="single" w:color="auto" w:sz="4" w:space="0"/>
            </w:tcBorders>
            <w:noWrap w:val="0"/>
            <w:vAlign w:val="center"/>
          </w:tcPr>
          <w:p w14:paraId="210D8124">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14:paraId="2403CF6F">
            <w:pPr>
              <w:widowControl/>
              <w:spacing w:line="240" w:lineRule="exact"/>
              <w:jc w:val="center"/>
              <w:rPr>
                <w:rFonts w:hint="eastAsia" w:ascii="宋体" w:hAnsi="宋体" w:eastAsia="宋体" w:cs="宋体"/>
                <w:kern w:val="0"/>
                <w:sz w:val="18"/>
                <w:szCs w:val="18"/>
                <w:lang w:val="en-US" w:eastAsia="zh-CN"/>
              </w:rPr>
            </w:pPr>
          </w:p>
        </w:tc>
        <w:tc>
          <w:tcPr>
            <w:tcW w:w="567" w:type="dxa"/>
            <w:gridSpan w:val="2"/>
            <w:tcBorders>
              <w:top w:val="nil"/>
              <w:left w:val="nil"/>
              <w:bottom w:val="single" w:color="auto" w:sz="4" w:space="0"/>
              <w:right w:val="single" w:color="auto" w:sz="4" w:space="0"/>
            </w:tcBorders>
            <w:noWrap w:val="0"/>
            <w:vAlign w:val="center"/>
          </w:tcPr>
          <w:p w14:paraId="1BAEA2B4">
            <w:pPr>
              <w:widowControl/>
              <w:spacing w:line="240" w:lineRule="exact"/>
              <w:jc w:val="center"/>
              <w:rPr>
                <w:rFonts w:hint="eastAsia" w:ascii="宋体" w:hAnsi="宋体" w:eastAsia="宋体" w:cs="宋体"/>
                <w:kern w:val="0"/>
                <w:sz w:val="18"/>
                <w:szCs w:val="18"/>
                <w:lang w:val="en-US" w:eastAsia="zh-CN"/>
              </w:rPr>
            </w:pPr>
          </w:p>
        </w:tc>
        <w:tc>
          <w:tcPr>
            <w:tcW w:w="1417" w:type="dxa"/>
            <w:gridSpan w:val="2"/>
            <w:tcBorders>
              <w:top w:val="single" w:color="auto" w:sz="4" w:space="0"/>
              <w:left w:val="nil"/>
              <w:bottom w:val="single" w:color="auto" w:sz="4" w:space="0"/>
              <w:right w:val="single" w:color="auto" w:sz="4" w:space="0"/>
            </w:tcBorders>
            <w:noWrap w:val="0"/>
            <w:vAlign w:val="center"/>
          </w:tcPr>
          <w:p w14:paraId="41CCAD21">
            <w:pPr>
              <w:widowControl/>
              <w:spacing w:line="240" w:lineRule="exact"/>
              <w:jc w:val="center"/>
              <w:rPr>
                <w:rFonts w:ascii="宋体" w:hAnsi="宋体" w:eastAsia="宋体" w:cs="宋体"/>
                <w:kern w:val="0"/>
                <w:sz w:val="18"/>
                <w:szCs w:val="18"/>
              </w:rPr>
            </w:pPr>
          </w:p>
        </w:tc>
      </w:tr>
      <w:tr w14:paraId="67AD8B44">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0"/>
            <w:vAlign w:val="center"/>
          </w:tcPr>
          <w:p w14:paraId="2D62069C">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50DDB5AA">
            <w:pPr>
              <w:widowControl/>
              <w:spacing w:line="240" w:lineRule="exact"/>
              <w:jc w:val="center"/>
              <w:rPr>
                <w:rFonts w:ascii="宋体" w:hAnsi="宋体" w:eastAsia="宋体" w:cs="宋体"/>
                <w:kern w:val="0"/>
                <w:sz w:val="18"/>
                <w:szCs w:val="18"/>
              </w:rPr>
            </w:pPr>
          </w:p>
        </w:tc>
        <w:tc>
          <w:tcPr>
            <w:tcW w:w="1048" w:type="dxa"/>
            <w:vMerge w:val="continue"/>
            <w:tcBorders>
              <w:top w:val="nil"/>
              <w:left w:val="single" w:color="auto" w:sz="4" w:space="0"/>
              <w:bottom w:val="single" w:color="auto" w:sz="4" w:space="0"/>
              <w:right w:val="single" w:color="auto" w:sz="4" w:space="0"/>
            </w:tcBorders>
            <w:noWrap w:val="0"/>
            <w:vAlign w:val="center"/>
          </w:tcPr>
          <w:p w14:paraId="5934BDF8">
            <w:pPr>
              <w:widowControl/>
              <w:spacing w:line="240" w:lineRule="exact"/>
              <w:jc w:val="center"/>
              <w:rPr>
                <w:rFonts w:ascii="宋体" w:hAnsi="宋体" w:eastAsia="宋体" w:cs="宋体"/>
                <w:kern w:val="0"/>
                <w:sz w:val="18"/>
                <w:szCs w:val="18"/>
              </w:rPr>
            </w:pPr>
          </w:p>
        </w:tc>
        <w:tc>
          <w:tcPr>
            <w:tcW w:w="2212" w:type="dxa"/>
            <w:gridSpan w:val="4"/>
            <w:tcBorders>
              <w:top w:val="single" w:color="auto" w:sz="4" w:space="0"/>
              <w:left w:val="nil"/>
              <w:bottom w:val="single" w:color="auto" w:sz="4" w:space="0"/>
              <w:right w:val="single" w:color="auto" w:sz="4" w:space="0"/>
            </w:tcBorders>
            <w:noWrap w:val="0"/>
            <w:vAlign w:val="center"/>
          </w:tcPr>
          <w:p w14:paraId="337692B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指标2：走访对象满意度</w:t>
            </w:r>
          </w:p>
        </w:tc>
        <w:tc>
          <w:tcPr>
            <w:tcW w:w="850" w:type="dxa"/>
            <w:tcBorders>
              <w:top w:val="nil"/>
              <w:left w:val="nil"/>
              <w:bottom w:val="single" w:color="auto" w:sz="4" w:space="0"/>
              <w:right w:val="single" w:color="auto" w:sz="4" w:space="0"/>
            </w:tcBorders>
            <w:noWrap w:val="0"/>
            <w:vAlign w:val="center"/>
          </w:tcPr>
          <w:p w14:paraId="175CF9D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631364C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1B7BC0E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A44BBE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43AD7FE1">
            <w:pPr>
              <w:widowControl/>
              <w:spacing w:line="240" w:lineRule="exact"/>
              <w:jc w:val="center"/>
              <w:rPr>
                <w:rFonts w:ascii="宋体" w:hAnsi="宋体" w:eastAsia="宋体" w:cs="宋体"/>
                <w:kern w:val="0"/>
                <w:sz w:val="18"/>
                <w:szCs w:val="18"/>
              </w:rPr>
            </w:pPr>
          </w:p>
        </w:tc>
      </w:tr>
      <w:tr w14:paraId="11027C11">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noWrap w:val="0"/>
            <w:vAlign w:val="center"/>
          </w:tcPr>
          <w:p w14:paraId="1CAE18E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1DD208B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3FF3E19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14:paraId="08D4133D">
            <w:pPr>
              <w:widowControl/>
              <w:spacing w:line="240" w:lineRule="exact"/>
              <w:jc w:val="center"/>
              <w:rPr>
                <w:rFonts w:ascii="宋体" w:hAnsi="宋体" w:eastAsia="宋体" w:cs="宋体"/>
                <w:kern w:val="0"/>
                <w:sz w:val="18"/>
                <w:szCs w:val="18"/>
              </w:rPr>
            </w:pPr>
          </w:p>
        </w:tc>
      </w:tr>
      <w:tr w14:paraId="14083EC8">
        <w:tblPrEx>
          <w:tblCellMar>
            <w:top w:w="0" w:type="dxa"/>
            <w:left w:w="108" w:type="dxa"/>
            <w:bottom w:w="0" w:type="dxa"/>
            <w:right w:w="108" w:type="dxa"/>
          </w:tblCellMar>
        </w:tblPrEx>
        <w:trPr>
          <w:trHeight w:val="454" w:hRule="exact"/>
          <w:jc w:val="center"/>
        </w:trPr>
        <w:tc>
          <w:tcPr>
            <w:tcW w:w="9080" w:type="dxa"/>
            <w:gridSpan w:val="15"/>
            <w:tcBorders>
              <w:top w:val="nil"/>
              <w:left w:val="nil"/>
              <w:bottom w:val="nil"/>
              <w:right w:val="nil"/>
            </w:tcBorders>
            <w:noWrap w:val="0"/>
            <w:vAlign w:val="center"/>
          </w:tcPr>
          <w:p w14:paraId="223336C1">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3687A947">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14:paraId="30FACB61">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14:paraId="57F1D425">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80C21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14:paraId="5A1C19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随军家属安置经费</w:t>
            </w:r>
          </w:p>
        </w:tc>
      </w:tr>
      <w:tr w14:paraId="591B4D11">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0EEF4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14:paraId="0ED1923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c>
          <w:tcPr>
            <w:tcW w:w="1134" w:type="dxa"/>
            <w:gridSpan w:val="2"/>
            <w:tcBorders>
              <w:top w:val="nil"/>
              <w:left w:val="nil"/>
              <w:bottom w:val="single" w:color="auto" w:sz="4" w:space="0"/>
              <w:right w:val="single" w:color="auto" w:sz="4" w:space="0"/>
            </w:tcBorders>
            <w:noWrap w:val="0"/>
            <w:vAlign w:val="center"/>
          </w:tcPr>
          <w:p w14:paraId="7DD483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5B4BE62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景德镇市退役军人事务局</w:t>
            </w:r>
          </w:p>
        </w:tc>
      </w:tr>
      <w:tr w14:paraId="5171A81C">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8CAE9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14:paraId="5DD5A25B">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1CADE3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19E1CE4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66F0EEB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6A7D18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1CA7C5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7130D3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33D222E">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126D94">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391BFE6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082DC56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1134" w:type="dxa"/>
            <w:gridSpan w:val="2"/>
            <w:tcBorders>
              <w:top w:val="nil"/>
              <w:left w:val="nil"/>
              <w:bottom w:val="single" w:color="auto" w:sz="4" w:space="0"/>
              <w:right w:val="single" w:color="auto" w:sz="4" w:space="0"/>
            </w:tcBorders>
            <w:noWrap w:val="0"/>
            <w:vAlign w:val="center"/>
          </w:tcPr>
          <w:p w14:paraId="24604B73">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6B1FCCE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709" w:type="dxa"/>
            <w:gridSpan w:val="2"/>
            <w:tcBorders>
              <w:top w:val="nil"/>
              <w:left w:val="nil"/>
              <w:bottom w:val="single" w:color="auto" w:sz="4" w:space="0"/>
              <w:right w:val="single" w:color="auto" w:sz="4" w:space="0"/>
            </w:tcBorders>
            <w:noWrap w:val="0"/>
            <w:vAlign w:val="center"/>
          </w:tcPr>
          <w:p w14:paraId="685931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6F8C960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14:paraId="1F71BDB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64AAADC8">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4D823F">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2F941E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586B3DF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1134" w:type="dxa"/>
            <w:gridSpan w:val="2"/>
            <w:tcBorders>
              <w:top w:val="nil"/>
              <w:left w:val="nil"/>
              <w:bottom w:val="single" w:color="auto" w:sz="4" w:space="0"/>
              <w:right w:val="single" w:color="auto" w:sz="4" w:space="0"/>
            </w:tcBorders>
            <w:noWrap w:val="0"/>
            <w:vAlign w:val="center"/>
          </w:tcPr>
          <w:p w14:paraId="4AFEA460">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3BB8EAC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67.73</w:t>
            </w:r>
          </w:p>
        </w:tc>
        <w:tc>
          <w:tcPr>
            <w:tcW w:w="709" w:type="dxa"/>
            <w:gridSpan w:val="2"/>
            <w:tcBorders>
              <w:top w:val="nil"/>
              <w:left w:val="nil"/>
              <w:bottom w:val="single" w:color="auto" w:sz="4" w:space="0"/>
              <w:right w:val="single" w:color="auto" w:sz="4" w:space="0"/>
            </w:tcBorders>
            <w:noWrap w:val="0"/>
            <w:vAlign w:val="center"/>
          </w:tcPr>
          <w:p w14:paraId="5BC69B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2EDDE20D">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49F8D3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D974BB1">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0B7B9B">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3FF6E5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68C87623">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6AE55F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0A38FE49">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DAF37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406D2498">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7DBF4C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CF18A24">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85AF40">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7DABAE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6497BBAB">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409889F2">
            <w:pPr>
              <w:widowControl/>
              <w:spacing w:line="240" w:lineRule="exact"/>
              <w:jc w:val="center"/>
              <w:rPr>
                <w:rFonts w:hint="default" w:ascii="宋体" w:hAnsi="宋体" w:eastAsia="宋体" w:cs="宋体"/>
                <w:kern w:val="0"/>
                <w:sz w:val="18"/>
                <w:szCs w:val="18"/>
                <w:lang w:val="en-US" w:eastAsia="zh-CN"/>
              </w:rPr>
            </w:pPr>
          </w:p>
        </w:tc>
        <w:tc>
          <w:tcPr>
            <w:tcW w:w="1134" w:type="dxa"/>
            <w:gridSpan w:val="2"/>
            <w:tcBorders>
              <w:top w:val="nil"/>
              <w:left w:val="nil"/>
              <w:bottom w:val="single" w:color="auto" w:sz="4" w:space="0"/>
              <w:right w:val="single" w:color="auto" w:sz="4" w:space="0"/>
            </w:tcBorders>
            <w:noWrap w:val="0"/>
            <w:vAlign w:val="center"/>
          </w:tcPr>
          <w:p w14:paraId="0149F370">
            <w:pPr>
              <w:widowControl/>
              <w:spacing w:line="240" w:lineRule="exact"/>
              <w:jc w:val="center"/>
              <w:rPr>
                <w:rFonts w:hint="default" w:ascii="宋体" w:hAnsi="宋体" w:eastAsia="宋体" w:cs="宋体"/>
                <w:kern w:val="0"/>
                <w:sz w:val="18"/>
                <w:szCs w:val="18"/>
                <w:lang w:val="en-US" w:eastAsia="zh-CN"/>
              </w:rPr>
            </w:pPr>
          </w:p>
        </w:tc>
        <w:tc>
          <w:tcPr>
            <w:tcW w:w="709" w:type="dxa"/>
            <w:gridSpan w:val="2"/>
            <w:tcBorders>
              <w:top w:val="nil"/>
              <w:left w:val="nil"/>
              <w:bottom w:val="single" w:color="auto" w:sz="4" w:space="0"/>
              <w:right w:val="single" w:color="auto" w:sz="4" w:space="0"/>
            </w:tcBorders>
            <w:noWrap w:val="0"/>
            <w:vAlign w:val="center"/>
          </w:tcPr>
          <w:p w14:paraId="774177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6A7296C0">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17E8D0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973951D">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424509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14:paraId="399A45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616BDF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1BD519D5">
        <w:tblPrEx>
          <w:tblCellMar>
            <w:top w:w="0" w:type="dxa"/>
            <w:left w:w="108" w:type="dxa"/>
            <w:bottom w:w="0" w:type="dxa"/>
            <w:right w:w="108" w:type="dxa"/>
          </w:tblCellMar>
        </w:tblPrEx>
        <w:trPr>
          <w:trHeight w:val="1055"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16765864">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14:paraId="49172A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依据景德镇市人民政府、景德镇军分区《关于进一步做好驻市部队随军家属就业安置工作的实施意见》（景府办发[2014]15号）的规定：按全是上年度城镇非私营单位在岗职工平均工资的12%标准发放。</w:t>
            </w:r>
            <w:r>
              <w:rPr>
                <w:rFonts w:hint="eastAsia" w:ascii="宋体" w:hAnsi="宋体" w:eastAsia="宋体" w:cs="宋体"/>
                <w:kern w:val="0"/>
                <w:sz w:val="18"/>
                <w:szCs w:val="18"/>
                <w:lang w:val="en-US" w:eastAsia="zh-CN"/>
              </w:rPr>
              <w:t>该年度符合要求人数共计81人。</w:t>
            </w:r>
          </w:p>
        </w:tc>
        <w:tc>
          <w:tcPr>
            <w:tcW w:w="3402" w:type="dxa"/>
            <w:gridSpan w:val="7"/>
            <w:tcBorders>
              <w:top w:val="single" w:color="auto" w:sz="4" w:space="0"/>
              <w:left w:val="nil"/>
              <w:bottom w:val="single" w:color="auto" w:sz="4" w:space="0"/>
              <w:right w:val="single" w:color="auto" w:sz="4" w:space="0"/>
            </w:tcBorders>
            <w:noWrap w:val="0"/>
            <w:vAlign w:val="center"/>
          </w:tcPr>
          <w:p w14:paraId="04FF029C">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符合要求人数共计81人，均按要求足额发放。</w:t>
            </w:r>
          </w:p>
        </w:tc>
      </w:tr>
      <w:tr w14:paraId="6AED1B0C">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3F8A82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78F4944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14:paraId="6843E0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229028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41A1D0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2F4AEE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1BAE9E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3C0AD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5B9B026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20A108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512E4F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75B432C">
        <w:tblPrEx>
          <w:tblCellMar>
            <w:top w:w="0" w:type="dxa"/>
            <w:left w:w="108" w:type="dxa"/>
            <w:bottom w:w="0" w:type="dxa"/>
            <w:right w:w="108" w:type="dxa"/>
          </w:tblCellMar>
        </w:tblPrEx>
        <w:trPr>
          <w:trHeight w:val="504" w:hRule="exact"/>
          <w:jc w:val="center"/>
        </w:trPr>
        <w:tc>
          <w:tcPr>
            <w:tcW w:w="588" w:type="dxa"/>
            <w:vMerge w:val="continue"/>
            <w:tcBorders>
              <w:left w:val="single" w:color="auto" w:sz="4" w:space="0"/>
              <w:right w:val="single" w:color="auto" w:sz="4" w:space="0"/>
            </w:tcBorders>
            <w:noWrap w:val="0"/>
            <w:vAlign w:val="center"/>
          </w:tcPr>
          <w:p w14:paraId="152B68C4">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45B82D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tcBorders>
              <w:top w:val="nil"/>
              <w:left w:val="single" w:color="auto" w:sz="4" w:space="0"/>
              <w:bottom w:val="single" w:color="auto" w:sz="4" w:space="0"/>
              <w:right w:val="single" w:color="auto" w:sz="4" w:space="0"/>
            </w:tcBorders>
            <w:noWrap w:val="0"/>
            <w:vAlign w:val="center"/>
          </w:tcPr>
          <w:p w14:paraId="0402267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6CC2B7E0">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指标1：随军家属未就业符合条件人数</w:t>
            </w:r>
          </w:p>
        </w:tc>
        <w:tc>
          <w:tcPr>
            <w:tcW w:w="850" w:type="dxa"/>
            <w:tcBorders>
              <w:top w:val="nil"/>
              <w:left w:val="nil"/>
              <w:bottom w:val="single" w:color="auto" w:sz="4" w:space="0"/>
              <w:right w:val="single" w:color="auto" w:sz="4" w:space="0"/>
            </w:tcBorders>
            <w:noWrap w:val="0"/>
            <w:vAlign w:val="center"/>
          </w:tcPr>
          <w:p w14:paraId="75F9A0F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81人</w:t>
            </w:r>
          </w:p>
        </w:tc>
        <w:tc>
          <w:tcPr>
            <w:tcW w:w="851" w:type="dxa"/>
            <w:tcBorders>
              <w:top w:val="nil"/>
              <w:left w:val="nil"/>
              <w:bottom w:val="single" w:color="auto" w:sz="4" w:space="0"/>
              <w:right w:val="single" w:color="auto" w:sz="4" w:space="0"/>
            </w:tcBorders>
            <w:noWrap w:val="0"/>
            <w:vAlign w:val="center"/>
          </w:tcPr>
          <w:p w14:paraId="15C48E7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81人</w:t>
            </w:r>
          </w:p>
        </w:tc>
        <w:tc>
          <w:tcPr>
            <w:tcW w:w="567" w:type="dxa"/>
            <w:gridSpan w:val="2"/>
            <w:tcBorders>
              <w:top w:val="nil"/>
              <w:left w:val="nil"/>
              <w:bottom w:val="single" w:color="auto" w:sz="4" w:space="0"/>
              <w:right w:val="single" w:color="auto" w:sz="4" w:space="0"/>
            </w:tcBorders>
            <w:noWrap w:val="0"/>
            <w:vAlign w:val="center"/>
          </w:tcPr>
          <w:p w14:paraId="7988446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00972E2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5774C6DF">
            <w:pPr>
              <w:widowControl/>
              <w:spacing w:line="240" w:lineRule="exact"/>
              <w:jc w:val="center"/>
              <w:rPr>
                <w:rFonts w:ascii="宋体" w:hAnsi="宋体" w:eastAsia="宋体" w:cs="宋体"/>
                <w:kern w:val="0"/>
                <w:sz w:val="18"/>
                <w:szCs w:val="18"/>
              </w:rPr>
            </w:pPr>
          </w:p>
        </w:tc>
      </w:tr>
      <w:tr w14:paraId="2DEA904F">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0"/>
            <w:vAlign w:val="center"/>
          </w:tcPr>
          <w:p w14:paraId="41681473">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40632DA">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14:paraId="376528A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0D16D950">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指标1：随军家属未就业生活补助发放符合标准</w:t>
            </w:r>
          </w:p>
        </w:tc>
        <w:tc>
          <w:tcPr>
            <w:tcW w:w="850" w:type="dxa"/>
            <w:tcBorders>
              <w:top w:val="nil"/>
              <w:left w:val="nil"/>
              <w:bottom w:val="single" w:color="auto" w:sz="4" w:space="0"/>
              <w:right w:val="single" w:color="auto" w:sz="4" w:space="0"/>
            </w:tcBorders>
            <w:noWrap w:val="0"/>
            <w:vAlign w:val="center"/>
          </w:tcPr>
          <w:p w14:paraId="3358E3F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02A1DB6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037B746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6529620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5E56AE85">
            <w:pPr>
              <w:widowControl/>
              <w:spacing w:line="240" w:lineRule="exact"/>
              <w:jc w:val="center"/>
              <w:rPr>
                <w:rFonts w:ascii="宋体" w:hAnsi="宋体" w:eastAsia="宋体" w:cs="宋体"/>
                <w:kern w:val="0"/>
                <w:sz w:val="18"/>
                <w:szCs w:val="18"/>
              </w:rPr>
            </w:pPr>
          </w:p>
        </w:tc>
      </w:tr>
      <w:tr w14:paraId="546C012E">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14:paraId="31D54F0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689C8FA">
            <w:pPr>
              <w:widowControl/>
              <w:spacing w:line="240" w:lineRule="exact"/>
              <w:jc w:val="center"/>
              <w:rPr>
                <w:rFonts w:ascii="宋体" w:hAnsi="宋体" w:eastAsia="宋体" w:cs="宋体"/>
                <w:kern w:val="0"/>
                <w:sz w:val="18"/>
                <w:szCs w:val="18"/>
              </w:rPr>
            </w:pPr>
          </w:p>
        </w:tc>
        <w:tc>
          <w:tcPr>
            <w:tcW w:w="1112" w:type="dxa"/>
            <w:gridSpan w:val="2"/>
            <w:tcBorders>
              <w:top w:val="nil"/>
              <w:left w:val="single" w:color="auto" w:sz="4" w:space="0"/>
              <w:bottom w:val="single" w:color="auto" w:sz="4" w:space="0"/>
              <w:right w:val="single" w:color="auto" w:sz="4" w:space="0"/>
            </w:tcBorders>
            <w:noWrap w:val="0"/>
            <w:vAlign w:val="center"/>
          </w:tcPr>
          <w:p w14:paraId="4C6E36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7DC3C9A7">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指标1：发放随军家属未就业生活补助及时性</w:t>
            </w:r>
          </w:p>
        </w:tc>
        <w:tc>
          <w:tcPr>
            <w:tcW w:w="850" w:type="dxa"/>
            <w:tcBorders>
              <w:top w:val="nil"/>
              <w:left w:val="nil"/>
              <w:bottom w:val="single" w:color="auto" w:sz="4" w:space="0"/>
              <w:right w:val="single" w:color="auto" w:sz="4" w:space="0"/>
            </w:tcBorders>
            <w:noWrap w:val="0"/>
            <w:vAlign w:val="center"/>
          </w:tcPr>
          <w:p w14:paraId="558C0D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781FC73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04F90D5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6E4CEA9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6A510B4B">
            <w:pPr>
              <w:widowControl/>
              <w:spacing w:line="240" w:lineRule="exact"/>
              <w:jc w:val="center"/>
              <w:rPr>
                <w:rFonts w:ascii="宋体" w:hAnsi="宋体" w:eastAsia="宋体" w:cs="宋体"/>
                <w:kern w:val="0"/>
                <w:sz w:val="18"/>
                <w:szCs w:val="18"/>
              </w:rPr>
            </w:pPr>
          </w:p>
        </w:tc>
      </w:tr>
      <w:tr w14:paraId="2A4F3FA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AD62D7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EA4F889">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0CC605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6B7148A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2ED16DD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3C9C246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7BF3B7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05364B0">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58433FA0">
            <w:pPr>
              <w:widowControl/>
              <w:spacing w:line="240" w:lineRule="exact"/>
              <w:jc w:val="center"/>
              <w:rPr>
                <w:rFonts w:ascii="宋体" w:hAnsi="宋体" w:eastAsia="宋体" w:cs="宋体"/>
                <w:kern w:val="0"/>
                <w:sz w:val="18"/>
                <w:szCs w:val="18"/>
              </w:rPr>
            </w:pPr>
          </w:p>
        </w:tc>
      </w:tr>
      <w:tr w14:paraId="01E407B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C479E9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CC18A5E">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14BBBADD">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4F260A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3B49D361">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69A1B4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2C4753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96C5B3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F4264BB">
            <w:pPr>
              <w:widowControl/>
              <w:spacing w:line="240" w:lineRule="exact"/>
              <w:jc w:val="center"/>
              <w:rPr>
                <w:rFonts w:ascii="宋体" w:hAnsi="宋体" w:eastAsia="宋体" w:cs="宋体"/>
                <w:kern w:val="0"/>
                <w:sz w:val="18"/>
                <w:szCs w:val="18"/>
              </w:rPr>
            </w:pPr>
          </w:p>
        </w:tc>
      </w:tr>
      <w:tr w14:paraId="47B22638">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FDE426E">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76EA7A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4891BE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84516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2424C8D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3D669C7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CF5087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AD8167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EC7AF8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3316035">
            <w:pPr>
              <w:widowControl/>
              <w:spacing w:line="240" w:lineRule="exact"/>
              <w:jc w:val="center"/>
              <w:rPr>
                <w:rFonts w:ascii="宋体" w:hAnsi="宋体" w:eastAsia="宋体" w:cs="宋体"/>
                <w:kern w:val="0"/>
                <w:sz w:val="18"/>
                <w:szCs w:val="18"/>
              </w:rPr>
            </w:pPr>
          </w:p>
        </w:tc>
      </w:tr>
      <w:tr w14:paraId="52EA984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E8BEC4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F433917">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26C74E4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76B365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753A228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5E3C3D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28C152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66CA24F">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222E755">
            <w:pPr>
              <w:widowControl/>
              <w:spacing w:line="240" w:lineRule="exact"/>
              <w:jc w:val="center"/>
              <w:rPr>
                <w:rFonts w:ascii="宋体" w:hAnsi="宋体" w:eastAsia="宋体" w:cs="宋体"/>
                <w:kern w:val="0"/>
                <w:sz w:val="18"/>
                <w:szCs w:val="18"/>
              </w:rPr>
            </w:pPr>
          </w:p>
        </w:tc>
      </w:tr>
      <w:tr w14:paraId="0C0498B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4570AD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DC46272">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306FA1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673000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483FC92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7FAF3C1D">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320B7CD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F21CC8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768F3A1">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A994307">
            <w:pPr>
              <w:widowControl/>
              <w:spacing w:line="240" w:lineRule="exact"/>
              <w:jc w:val="center"/>
              <w:rPr>
                <w:rFonts w:ascii="宋体" w:hAnsi="宋体" w:eastAsia="宋体" w:cs="宋体"/>
                <w:kern w:val="0"/>
                <w:sz w:val="18"/>
                <w:szCs w:val="18"/>
              </w:rPr>
            </w:pPr>
          </w:p>
        </w:tc>
      </w:tr>
      <w:tr w14:paraId="0C3DEDF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64ABF9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15DA4ED">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66D9CB3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34FD79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64FAF72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82886F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E8B131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A0BAA0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5C12862D">
            <w:pPr>
              <w:widowControl/>
              <w:spacing w:line="240" w:lineRule="exact"/>
              <w:jc w:val="center"/>
              <w:rPr>
                <w:rFonts w:ascii="宋体" w:hAnsi="宋体" w:eastAsia="宋体" w:cs="宋体"/>
                <w:kern w:val="0"/>
                <w:sz w:val="18"/>
                <w:szCs w:val="18"/>
              </w:rPr>
            </w:pPr>
          </w:p>
        </w:tc>
      </w:tr>
      <w:tr w14:paraId="2F3986E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1D1AC1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F018DBE">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5A10E4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092463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039C3C0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58E3AD2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EDA3BB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7496A4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DBD9677">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738C404C">
            <w:pPr>
              <w:widowControl/>
              <w:spacing w:line="240" w:lineRule="exact"/>
              <w:jc w:val="center"/>
              <w:rPr>
                <w:rFonts w:ascii="宋体" w:hAnsi="宋体" w:eastAsia="宋体" w:cs="宋体"/>
                <w:kern w:val="0"/>
                <w:sz w:val="18"/>
                <w:szCs w:val="18"/>
              </w:rPr>
            </w:pPr>
          </w:p>
        </w:tc>
      </w:tr>
      <w:tr w14:paraId="43C9104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219B1EA">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91C8503">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79106AC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6E0AF8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AECFC7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1D5CBB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720196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DA2E566">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832D808">
            <w:pPr>
              <w:widowControl/>
              <w:spacing w:line="240" w:lineRule="exact"/>
              <w:jc w:val="center"/>
              <w:rPr>
                <w:rFonts w:ascii="宋体" w:hAnsi="宋体" w:eastAsia="宋体" w:cs="宋体"/>
                <w:kern w:val="0"/>
                <w:sz w:val="18"/>
                <w:szCs w:val="18"/>
              </w:rPr>
            </w:pPr>
          </w:p>
        </w:tc>
      </w:tr>
      <w:tr w14:paraId="04D3C299">
        <w:tblPrEx>
          <w:tblCellMar>
            <w:top w:w="0" w:type="dxa"/>
            <w:left w:w="108" w:type="dxa"/>
            <w:bottom w:w="0" w:type="dxa"/>
            <w:right w:w="108" w:type="dxa"/>
          </w:tblCellMar>
        </w:tblPrEx>
        <w:trPr>
          <w:trHeight w:val="570" w:hRule="exact"/>
          <w:jc w:val="center"/>
        </w:trPr>
        <w:tc>
          <w:tcPr>
            <w:tcW w:w="588" w:type="dxa"/>
            <w:vMerge w:val="continue"/>
            <w:tcBorders>
              <w:left w:val="single" w:color="auto" w:sz="4" w:space="0"/>
              <w:right w:val="single" w:color="auto" w:sz="4" w:space="0"/>
            </w:tcBorders>
            <w:noWrap w:val="0"/>
            <w:vAlign w:val="center"/>
          </w:tcPr>
          <w:p w14:paraId="742D8CD0">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2441CFE">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3615A9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0714F7D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指标1：随军家属安置经费保障率</w:t>
            </w:r>
          </w:p>
        </w:tc>
        <w:tc>
          <w:tcPr>
            <w:tcW w:w="850" w:type="dxa"/>
            <w:tcBorders>
              <w:top w:val="nil"/>
              <w:left w:val="nil"/>
              <w:bottom w:val="single" w:color="auto" w:sz="4" w:space="0"/>
              <w:right w:val="single" w:color="auto" w:sz="4" w:space="0"/>
            </w:tcBorders>
            <w:noWrap w:val="0"/>
            <w:vAlign w:val="center"/>
          </w:tcPr>
          <w:p w14:paraId="00925B0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0DF46A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2855047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44F71E5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noWrap w:val="0"/>
            <w:vAlign w:val="center"/>
          </w:tcPr>
          <w:p w14:paraId="27029C49">
            <w:pPr>
              <w:widowControl/>
              <w:spacing w:line="240" w:lineRule="exact"/>
              <w:jc w:val="center"/>
              <w:rPr>
                <w:rFonts w:ascii="宋体" w:hAnsi="宋体" w:eastAsia="宋体" w:cs="宋体"/>
                <w:kern w:val="0"/>
                <w:sz w:val="18"/>
                <w:szCs w:val="18"/>
              </w:rPr>
            </w:pPr>
          </w:p>
        </w:tc>
      </w:tr>
      <w:tr w14:paraId="6C47EAA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EBF46F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A836981">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340D222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0EBE58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18F684C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BADA9A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4804DA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62154E8">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208A017">
            <w:pPr>
              <w:widowControl/>
              <w:spacing w:line="240" w:lineRule="exact"/>
              <w:jc w:val="center"/>
              <w:rPr>
                <w:rFonts w:ascii="宋体" w:hAnsi="宋体" w:eastAsia="宋体" w:cs="宋体"/>
                <w:kern w:val="0"/>
                <w:sz w:val="18"/>
                <w:szCs w:val="18"/>
              </w:rPr>
            </w:pPr>
          </w:p>
        </w:tc>
      </w:tr>
      <w:tr w14:paraId="745F9D94">
        <w:tblPrEx>
          <w:tblCellMar>
            <w:top w:w="0" w:type="dxa"/>
            <w:left w:w="108" w:type="dxa"/>
            <w:bottom w:w="0" w:type="dxa"/>
            <w:right w:w="108" w:type="dxa"/>
          </w:tblCellMar>
        </w:tblPrEx>
        <w:trPr>
          <w:trHeight w:val="705" w:hRule="exact"/>
          <w:jc w:val="center"/>
        </w:trPr>
        <w:tc>
          <w:tcPr>
            <w:tcW w:w="588" w:type="dxa"/>
            <w:vMerge w:val="continue"/>
            <w:tcBorders>
              <w:left w:val="single" w:color="auto" w:sz="4" w:space="0"/>
              <w:right w:val="single" w:color="auto" w:sz="4" w:space="0"/>
            </w:tcBorders>
            <w:noWrap w:val="0"/>
            <w:vAlign w:val="center"/>
          </w:tcPr>
          <w:p w14:paraId="5C22D15D">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2CCEDD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DCA4E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2B2AD7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5EFA3C7F">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指标1：符合发放条件军属满意度</w:t>
            </w:r>
          </w:p>
        </w:tc>
        <w:tc>
          <w:tcPr>
            <w:tcW w:w="850" w:type="dxa"/>
            <w:tcBorders>
              <w:top w:val="nil"/>
              <w:left w:val="nil"/>
              <w:bottom w:val="single" w:color="auto" w:sz="4" w:space="0"/>
              <w:right w:val="single" w:color="auto" w:sz="4" w:space="0"/>
            </w:tcBorders>
            <w:noWrap w:val="0"/>
            <w:vAlign w:val="center"/>
          </w:tcPr>
          <w:p w14:paraId="782B4B7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4564DF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079324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5E1E9B2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14C041EC">
            <w:pPr>
              <w:widowControl/>
              <w:spacing w:line="240" w:lineRule="exact"/>
              <w:jc w:val="center"/>
              <w:rPr>
                <w:rFonts w:ascii="宋体" w:hAnsi="宋体" w:eastAsia="宋体" w:cs="宋体"/>
                <w:kern w:val="0"/>
                <w:sz w:val="18"/>
                <w:szCs w:val="18"/>
              </w:rPr>
            </w:pPr>
          </w:p>
        </w:tc>
      </w:tr>
      <w:tr w14:paraId="767C3F10">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0"/>
            <w:vAlign w:val="center"/>
          </w:tcPr>
          <w:p w14:paraId="32C0B2AD">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C9E91B4">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3167A2D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AEC393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指标2：符合发放条件军人满意度</w:t>
            </w:r>
          </w:p>
        </w:tc>
        <w:tc>
          <w:tcPr>
            <w:tcW w:w="850" w:type="dxa"/>
            <w:tcBorders>
              <w:top w:val="nil"/>
              <w:left w:val="nil"/>
              <w:bottom w:val="single" w:color="auto" w:sz="4" w:space="0"/>
              <w:right w:val="single" w:color="auto" w:sz="4" w:space="0"/>
            </w:tcBorders>
            <w:noWrap w:val="0"/>
            <w:vAlign w:val="center"/>
          </w:tcPr>
          <w:p w14:paraId="47F3687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14:paraId="453EFE4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00%</w:t>
            </w:r>
          </w:p>
        </w:tc>
        <w:tc>
          <w:tcPr>
            <w:tcW w:w="567" w:type="dxa"/>
            <w:gridSpan w:val="2"/>
            <w:tcBorders>
              <w:top w:val="nil"/>
              <w:left w:val="nil"/>
              <w:bottom w:val="single" w:color="auto" w:sz="4" w:space="0"/>
              <w:right w:val="single" w:color="auto" w:sz="4" w:space="0"/>
            </w:tcBorders>
            <w:noWrap w:val="0"/>
            <w:vAlign w:val="center"/>
          </w:tcPr>
          <w:p w14:paraId="61887DF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2CF2938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14:paraId="39A261A2">
            <w:pPr>
              <w:widowControl/>
              <w:spacing w:line="240" w:lineRule="exact"/>
              <w:jc w:val="center"/>
              <w:rPr>
                <w:rFonts w:ascii="宋体" w:hAnsi="宋体" w:eastAsia="宋体" w:cs="宋体"/>
                <w:kern w:val="0"/>
                <w:sz w:val="18"/>
                <w:szCs w:val="18"/>
              </w:rPr>
            </w:pPr>
          </w:p>
        </w:tc>
      </w:tr>
      <w:tr w14:paraId="0D28F822">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noWrap w:val="0"/>
            <w:vAlign w:val="center"/>
          </w:tcPr>
          <w:p w14:paraId="5D3344B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69F29AD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4DFFAB43">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14:paraId="03DCA49F">
            <w:pPr>
              <w:widowControl/>
              <w:spacing w:line="240" w:lineRule="exact"/>
              <w:jc w:val="center"/>
              <w:rPr>
                <w:rFonts w:ascii="宋体" w:hAnsi="宋体" w:eastAsia="宋体" w:cs="宋体"/>
                <w:kern w:val="0"/>
                <w:sz w:val="18"/>
                <w:szCs w:val="18"/>
              </w:rPr>
            </w:pPr>
          </w:p>
        </w:tc>
      </w:tr>
    </w:tbl>
    <w:p w14:paraId="642F6C7F">
      <w:pPr>
        <w:pStyle w:val="2"/>
        <w:rPr>
          <w:rFonts w:hint="default" w:eastAsia="宋体"/>
          <w:lang w:val="en-US" w:eastAsia="zh-CN"/>
        </w:rPr>
      </w:pPr>
    </w:p>
    <w:p w14:paraId="4A29B3C6">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14:paraId="021877F9">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14:paraId="52AC6A2C">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14:paraId="1F5C7BBC">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p>
    <w:p w14:paraId="4428380A">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lang w:val="en-US" w:eastAsia="zh-CN"/>
        </w:rPr>
        <w:t>三）部门评价项目绩效评价情况。</w:t>
      </w:r>
    </w:p>
    <w:p w14:paraId="74F93AFE">
      <w:pPr>
        <w:autoSpaceDE w:val="0"/>
        <w:autoSpaceDN w:val="0"/>
        <w:adjustRightInd w:val="0"/>
        <w:spacing w:line="360" w:lineRule="auto"/>
        <w:ind w:firstLine="600"/>
        <w:jc w:val="center"/>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随军家属安置经费项目支出绩效评价报告</w:t>
      </w:r>
    </w:p>
    <w:p w14:paraId="22488B79">
      <w:pPr>
        <w:pStyle w:val="2"/>
        <w:rPr>
          <w:rFonts w:hint="eastAsia"/>
          <w:lang w:val="en-US" w:eastAsia="zh-CN"/>
        </w:rPr>
      </w:pPr>
    </w:p>
    <w:p w14:paraId="3B7DA0DD">
      <w:pPr>
        <w:pStyle w:val="2"/>
        <w:numPr>
          <w:ilvl w:val="0"/>
          <w:numId w:val="4"/>
        </w:numPr>
        <w:ind w:firstLine="602" w:firstLineChars="200"/>
        <w:jc w:val="both"/>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项目基本情况</w:t>
      </w:r>
    </w:p>
    <w:p w14:paraId="390782D4">
      <w:pPr>
        <w:numPr>
          <w:ilvl w:val="0"/>
          <w:numId w:val="5"/>
        </w:numPr>
        <w:ind w:firstLine="540" w:firstLineChars="180"/>
        <w:jc w:val="both"/>
        <w:rPr>
          <w:rFonts w:hint="default"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项目背景</w:t>
      </w:r>
    </w:p>
    <w:p w14:paraId="55C13EB4">
      <w:pPr>
        <w:numPr>
          <w:ilvl w:val="0"/>
          <w:numId w:val="0"/>
        </w:numPr>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rPr>
        <w:t>该项目依据景德镇市人民政府、景德镇军分区《关于进一步做好驻市部队随军家属就业安置工作的实施意见》（景府办发[2014]15号）的规定：按全是上年度城镇非私营单位在岗职工平均工资的12%标准发放。</w:t>
      </w:r>
    </w:p>
    <w:p w14:paraId="7E326D41">
      <w:pPr>
        <w:numPr>
          <w:ilvl w:val="0"/>
          <w:numId w:val="5"/>
        </w:numPr>
        <w:ind w:left="0" w:leftChars="0" w:firstLine="540" w:firstLineChars="180"/>
        <w:jc w:val="both"/>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项目目标</w:t>
      </w:r>
    </w:p>
    <w:p w14:paraId="4AE72E03">
      <w:pPr>
        <w:numPr>
          <w:ilvl w:val="0"/>
          <w:numId w:val="0"/>
        </w:numPr>
        <w:ind w:firstLine="600" w:firstLineChars="200"/>
        <w:jc w:val="both"/>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根据前期军分区政治工作处、市双拥办、人社局三家审定的驻市部队随军家属未就业符合条件有81人，按标准折合每人每月450元，全年发放67.73万元整。</w:t>
      </w:r>
    </w:p>
    <w:p w14:paraId="7DB9C868">
      <w:pPr>
        <w:pStyle w:val="2"/>
        <w:numPr>
          <w:ilvl w:val="0"/>
          <w:numId w:val="5"/>
        </w:numPr>
        <w:ind w:left="0" w:leftChars="0" w:firstLine="540" w:firstLineChars="180"/>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支出情况</w:t>
      </w:r>
    </w:p>
    <w:p w14:paraId="3A3D8228">
      <w:pPr>
        <w:pStyle w:val="2"/>
        <w:numPr>
          <w:ilvl w:val="0"/>
          <w:numId w:val="0"/>
        </w:numPr>
        <w:ind w:firstLine="600" w:firstLineChars="200"/>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2021年度本项目资金纳入年初部门预算，全年预算数为67.73万元，全年执行数为67.73万元，执行率100%。</w:t>
      </w:r>
    </w:p>
    <w:p w14:paraId="780E31B3">
      <w:pPr>
        <w:pStyle w:val="2"/>
        <w:numPr>
          <w:ilvl w:val="0"/>
          <w:numId w:val="4"/>
        </w:numPr>
        <w:ind w:firstLine="602" w:firstLineChars="200"/>
        <w:jc w:val="both"/>
        <w:rPr>
          <w:rFonts w:hint="eastAsia" w:ascii="仿宋" w:hAnsi="仿宋" w:eastAsia="仿宋" w:cs="仿宋_GB2312"/>
          <w:b/>
          <w:bCs/>
          <w:kern w:val="0"/>
          <w:sz w:val="30"/>
          <w:szCs w:val="30"/>
          <w:lang w:val="en-US" w:eastAsia="zh-CN"/>
        </w:rPr>
      </w:pPr>
      <w:r>
        <w:rPr>
          <w:rFonts w:hint="eastAsia" w:ascii="仿宋" w:hAnsi="仿宋" w:eastAsia="仿宋" w:cs="仿宋_GB2312"/>
          <w:b/>
          <w:bCs/>
          <w:kern w:val="0"/>
          <w:sz w:val="30"/>
          <w:szCs w:val="30"/>
          <w:lang w:val="en-US" w:eastAsia="zh-CN"/>
        </w:rPr>
        <w:t>绩效评价工作开展情况</w:t>
      </w:r>
    </w:p>
    <w:p w14:paraId="31E38BB0">
      <w:pPr>
        <w:pStyle w:val="2"/>
        <w:numPr>
          <w:ilvl w:val="0"/>
          <w:numId w:val="6"/>
        </w:numPr>
        <w:ind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评价范围和目的。本次绩效评价的对象为2021年度随军家属安置经费项目实施情况，主要从项目执行率、项目产出、项目效益、项目满意度四个方面对项目资金投入与使用、绩效目标设定、预算管理、绩效目标的实现程度及效益等情况进行评价。通过绩效评价，帮助项目单位加强项目支出管理，进一步提高财政资金使用效益，同时为以后年度预算资金分配提供参考。</w:t>
      </w:r>
    </w:p>
    <w:p w14:paraId="4D6AA99D">
      <w:pPr>
        <w:numPr>
          <w:ilvl w:val="0"/>
          <w:numId w:val="6"/>
        </w:numPr>
        <w:ind w:left="0" w:leftChars="0"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评价指标体系。本次评价指标体系包括全年执行率、产出、满意度3个一级指标，下设5个二级指标和6个三级指标，绩效评价总分值为100分。其中：全年执行率指标10分，对资金到位率、预算执行率进行评价分析；产出指标70分，主要从产出数量、产出质量、资金使用合规性进行评价分析；满意度指标20分，主要从服务对象满意度方面进项评价分析。</w:t>
      </w:r>
    </w:p>
    <w:p w14:paraId="5734BEB8">
      <w:pPr>
        <w:numPr>
          <w:ilvl w:val="0"/>
          <w:numId w:val="6"/>
        </w:numPr>
        <w:ind w:left="0" w:leftChars="0" w:firstLine="600" w:firstLineChars="200"/>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评价结论。根据财政提供的项目支出绩效评价指 标体系框架，结合工作实际对 2021年度“随军家属安置经费”项 目绩效打分评价,自评分100分。2021年度“随军家属安置经费”项目立项依据充分，项目管理规范，执行情况良好，完成较好。但项目还存在绩效指标设置有待于进一步完善的问题。</w:t>
      </w:r>
    </w:p>
    <w:p w14:paraId="4125F00D">
      <w:pPr>
        <w:numPr>
          <w:ilvl w:val="0"/>
          <w:numId w:val="4"/>
        </w:numPr>
        <w:ind w:left="0" w:leftChars="0" w:firstLine="602" w:firstLineChars="200"/>
        <w:rPr>
          <w:rFonts w:hint="eastAsia" w:ascii="仿宋" w:hAnsi="仿宋" w:eastAsia="仿宋" w:cs="仿宋"/>
          <w:b/>
          <w:bCs/>
          <w:sz w:val="30"/>
          <w:szCs w:val="30"/>
        </w:rPr>
      </w:pPr>
      <w:r>
        <w:rPr>
          <w:rFonts w:hint="eastAsia" w:ascii="仿宋" w:hAnsi="仿宋" w:eastAsia="仿宋" w:cs="仿宋"/>
          <w:b/>
          <w:bCs/>
          <w:sz w:val="30"/>
          <w:szCs w:val="30"/>
        </w:rPr>
        <w:t xml:space="preserve">绩效评价指标分析 </w:t>
      </w:r>
    </w:p>
    <w:p w14:paraId="572CE914">
      <w:pPr>
        <w:numPr>
          <w:ilvl w:val="0"/>
          <w:numId w:val="7"/>
        </w:numPr>
        <w:ind w:firstLine="600" w:firstLineChars="200"/>
        <w:rPr>
          <w:rFonts w:hint="eastAsia" w:ascii="仿宋" w:hAnsi="仿宋" w:eastAsia="仿宋" w:cs="仿宋"/>
          <w:sz w:val="30"/>
          <w:szCs w:val="30"/>
        </w:rPr>
      </w:pPr>
      <w:r>
        <w:rPr>
          <w:rFonts w:hint="eastAsia" w:ascii="仿宋" w:hAnsi="仿宋" w:eastAsia="仿宋" w:cs="仿宋"/>
          <w:sz w:val="30"/>
          <w:szCs w:val="30"/>
        </w:rPr>
        <w:t>全年执行率指标分析。该指标分值</w:t>
      </w:r>
      <w:r>
        <w:rPr>
          <w:rFonts w:hint="eastAsia" w:ascii="仿宋" w:hAnsi="仿宋" w:eastAsia="仿宋" w:cs="仿宋"/>
          <w:sz w:val="30"/>
          <w:szCs w:val="30"/>
          <w:lang w:val="en-US" w:eastAsia="zh-CN"/>
        </w:rPr>
        <w:t>10</w:t>
      </w:r>
      <w:r>
        <w:rPr>
          <w:rFonts w:hint="eastAsia" w:ascii="仿宋" w:hAnsi="仿宋" w:eastAsia="仿宋" w:cs="仿宋"/>
          <w:sz w:val="30"/>
          <w:szCs w:val="30"/>
        </w:rPr>
        <w:t>分，得分</w:t>
      </w:r>
      <w:r>
        <w:rPr>
          <w:rFonts w:hint="eastAsia" w:ascii="仿宋" w:hAnsi="仿宋" w:eastAsia="仿宋" w:cs="仿宋"/>
          <w:sz w:val="30"/>
          <w:szCs w:val="30"/>
          <w:lang w:val="en-US" w:eastAsia="zh-CN"/>
        </w:rPr>
        <w:t>10</w:t>
      </w:r>
      <w:r>
        <w:rPr>
          <w:rFonts w:hint="eastAsia" w:ascii="仿宋" w:hAnsi="仿宋" w:eastAsia="仿宋" w:cs="仿宋"/>
          <w:sz w:val="30"/>
          <w:szCs w:val="30"/>
        </w:rPr>
        <w:t>分。</w:t>
      </w:r>
      <w:r>
        <w:rPr>
          <w:rFonts w:hint="eastAsia" w:ascii="仿宋" w:hAnsi="仿宋" w:eastAsia="仿宋" w:cs="仿宋"/>
          <w:sz w:val="30"/>
          <w:szCs w:val="30"/>
          <w:lang w:eastAsia="zh-CN"/>
        </w:rPr>
        <w:t>2021</w:t>
      </w:r>
      <w:r>
        <w:rPr>
          <w:rFonts w:hint="eastAsia" w:ascii="仿宋" w:hAnsi="仿宋" w:eastAsia="仿宋" w:cs="仿宋"/>
          <w:sz w:val="30"/>
          <w:szCs w:val="30"/>
        </w:rPr>
        <w:t>年度本项目资金纳入年初部门预算，全年预算数为</w:t>
      </w:r>
      <w:r>
        <w:rPr>
          <w:rFonts w:hint="eastAsia" w:ascii="仿宋" w:hAnsi="仿宋" w:eastAsia="仿宋" w:cs="仿宋"/>
          <w:sz w:val="30"/>
          <w:szCs w:val="30"/>
          <w:lang w:val="en-US" w:eastAsia="zh-CN"/>
        </w:rPr>
        <w:t>67.73</w:t>
      </w:r>
      <w:r>
        <w:rPr>
          <w:rFonts w:hint="eastAsia" w:ascii="仿宋" w:hAnsi="仿宋" w:eastAsia="仿宋" w:cs="仿宋"/>
          <w:sz w:val="30"/>
          <w:szCs w:val="30"/>
        </w:rPr>
        <w:t>万元，全年执行数为</w:t>
      </w:r>
      <w:r>
        <w:rPr>
          <w:rFonts w:hint="eastAsia" w:ascii="仿宋" w:hAnsi="仿宋" w:eastAsia="仿宋" w:cs="仿宋"/>
          <w:sz w:val="30"/>
          <w:szCs w:val="30"/>
          <w:lang w:val="en-US" w:eastAsia="zh-CN"/>
        </w:rPr>
        <w:t>67.73</w:t>
      </w:r>
      <w:r>
        <w:rPr>
          <w:rFonts w:hint="eastAsia" w:ascii="仿宋" w:hAnsi="仿宋" w:eastAsia="仿宋" w:cs="仿宋"/>
          <w:sz w:val="30"/>
          <w:szCs w:val="30"/>
        </w:rPr>
        <w:t xml:space="preserve">万元，执行率 </w:t>
      </w:r>
      <w:r>
        <w:rPr>
          <w:rFonts w:hint="eastAsia" w:ascii="仿宋" w:hAnsi="仿宋" w:eastAsia="仿宋" w:cs="仿宋"/>
          <w:sz w:val="30"/>
          <w:szCs w:val="30"/>
          <w:lang w:val="en-US" w:eastAsia="zh-CN"/>
        </w:rPr>
        <w:t>100</w:t>
      </w:r>
      <w:r>
        <w:rPr>
          <w:rFonts w:hint="eastAsia" w:ascii="仿宋" w:hAnsi="仿宋" w:eastAsia="仿宋" w:cs="仿宋"/>
          <w:sz w:val="30"/>
          <w:szCs w:val="30"/>
        </w:rPr>
        <w:t xml:space="preserve">%，预算执行率良好。 </w:t>
      </w:r>
    </w:p>
    <w:p w14:paraId="22C59586">
      <w:pPr>
        <w:numPr>
          <w:ilvl w:val="0"/>
          <w:numId w:val="7"/>
        </w:num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产出指标分析。该指标分值</w:t>
      </w:r>
      <w:r>
        <w:rPr>
          <w:rFonts w:hint="eastAsia" w:ascii="仿宋" w:hAnsi="仿宋" w:eastAsia="仿宋" w:cs="仿宋"/>
          <w:sz w:val="30"/>
          <w:szCs w:val="30"/>
          <w:lang w:val="en-US" w:eastAsia="zh-CN"/>
        </w:rPr>
        <w:t>70</w:t>
      </w:r>
      <w:r>
        <w:rPr>
          <w:rFonts w:hint="eastAsia" w:ascii="仿宋" w:hAnsi="仿宋" w:eastAsia="仿宋" w:cs="仿宋"/>
          <w:sz w:val="30"/>
          <w:szCs w:val="30"/>
        </w:rPr>
        <w:t>分，得分</w:t>
      </w:r>
      <w:r>
        <w:rPr>
          <w:rFonts w:hint="eastAsia" w:ascii="仿宋" w:hAnsi="仿宋" w:eastAsia="仿宋" w:cs="仿宋"/>
          <w:sz w:val="30"/>
          <w:szCs w:val="30"/>
          <w:lang w:val="en-US" w:eastAsia="zh-CN"/>
        </w:rPr>
        <w:t>70</w:t>
      </w:r>
      <w:r>
        <w:rPr>
          <w:rFonts w:hint="eastAsia" w:ascii="仿宋" w:hAnsi="仿宋" w:eastAsia="仿宋" w:cs="仿宋"/>
          <w:sz w:val="30"/>
          <w:szCs w:val="30"/>
        </w:rPr>
        <w:t>分。</w:t>
      </w:r>
      <w:r>
        <w:rPr>
          <w:rFonts w:hint="eastAsia" w:ascii="仿宋" w:hAnsi="仿宋" w:eastAsia="仿宋" w:cs="仿宋"/>
          <w:sz w:val="30"/>
          <w:szCs w:val="30"/>
          <w:lang w:val="en-US" w:eastAsia="zh-CN"/>
        </w:rPr>
        <w:t>完成符合条件76人足额并及时发放随军家属安置经费。</w:t>
      </w:r>
    </w:p>
    <w:p w14:paraId="014B19C3">
      <w:pPr>
        <w:numPr>
          <w:ilvl w:val="0"/>
          <w:numId w:val="7"/>
        </w:numPr>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满意度指标分析。该指标分值</w:t>
      </w:r>
      <w:r>
        <w:rPr>
          <w:rFonts w:hint="eastAsia" w:ascii="仿宋" w:hAnsi="仿宋" w:eastAsia="仿宋" w:cs="仿宋"/>
          <w:sz w:val="30"/>
          <w:szCs w:val="30"/>
          <w:lang w:val="en-US" w:eastAsia="zh-CN"/>
        </w:rPr>
        <w:t>20</w:t>
      </w:r>
      <w:r>
        <w:rPr>
          <w:rFonts w:hint="eastAsia" w:ascii="仿宋" w:hAnsi="仿宋" w:eastAsia="仿宋" w:cs="仿宋"/>
          <w:sz w:val="30"/>
          <w:szCs w:val="30"/>
        </w:rPr>
        <w:t>分，得分</w:t>
      </w:r>
      <w:r>
        <w:rPr>
          <w:rFonts w:hint="eastAsia" w:ascii="仿宋" w:hAnsi="仿宋" w:eastAsia="仿宋" w:cs="仿宋"/>
          <w:sz w:val="30"/>
          <w:szCs w:val="30"/>
          <w:lang w:val="en-US" w:eastAsia="zh-CN"/>
        </w:rPr>
        <w:t>20</w:t>
      </w:r>
      <w:r>
        <w:rPr>
          <w:rFonts w:hint="eastAsia" w:ascii="仿宋" w:hAnsi="仿宋" w:eastAsia="仿宋" w:cs="仿宋"/>
          <w:sz w:val="30"/>
          <w:szCs w:val="30"/>
        </w:rPr>
        <w:t>分。</w:t>
      </w:r>
      <w:r>
        <w:rPr>
          <w:rFonts w:hint="eastAsia" w:ascii="仿宋" w:hAnsi="仿宋" w:eastAsia="仿宋" w:cs="仿宋"/>
          <w:sz w:val="30"/>
          <w:szCs w:val="30"/>
          <w:lang w:val="en-US" w:eastAsia="zh-CN"/>
        </w:rPr>
        <w:t>符合发放条件军人及军属</w:t>
      </w:r>
      <w:r>
        <w:rPr>
          <w:rFonts w:hint="eastAsia" w:ascii="仿宋" w:hAnsi="仿宋" w:eastAsia="仿宋" w:cs="仿宋"/>
          <w:sz w:val="30"/>
          <w:szCs w:val="30"/>
        </w:rPr>
        <w:t>满意度较高。</w:t>
      </w:r>
    </w:p>
    <w:p w14:paraId="60BC95F6">
      <w:pPr>
        <w:pStyle w:val="2"/>
        <w:numPr>
          <w:ilvl w:val="0"/>
          <w:numId w:val="4"/>
        </w:numPr>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其他需要说明的问题</w:t>
      </w:r>
    </w:p>
    <w:p w14:paraId="2FAB550A">
      <w:pPr>
        <w:pStyle w:val="2"/>
        <w:numPr>
          <w:ilvl w:val="0"/>
          <w:numId w:val="0"/>
        </w:numPr>
        <w:ind w:leftChars="200" w:firstLine="300" w:firstLineChars="100"/>
        <w:rPr>
          <w:rFonts w:hint="eastAsia" w:ascii="宋体" w:hAnsi="宋体"/>
          <w:b/>
          <w:sz w:val="32"/>
          <w:szCs w:val="32"/>
        </w:rPr>
      </w:pPr>
      <w:r>
        <w:rPr>
          <w:rFonts w:hint="eastAsia" w:ascii="仿宋" w:hAnsi="仿宋" w:eastAsia="仿宋" w:cs="仿宋"/>
          <w:sz w:val="30"/>
          <w:szCs w:val="30"/>
          <w:lang w:val="en-US" w:eastAsia="zh-CN"/>
        </w:rPr>
        <w:t>无</w:t>
      </w:r>
    </w:p>
    <w:p w14:paraId="54BB0771">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273E5DF">
      <w:pPr>
        <w:pStyle w:val="9"/>
        <w:spacing w:line="600" w:lineRule="atLeast"/>
        <w:ind w:firstLine="600"/>
        <w:rPr>
          <w:rFonts w:hint="eastAsia" w:ascii="仿宋" w:hAnsi="仿宋" w:eastAsia="仿宋"/>
          <w:sz w:val="30"/>
          <w:szCs w:val="30"/>
        </w:rPr>
      </w:pPr>
    </w:p>
    <w:p w14:paraId="34C9CEB6">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一、收入科目</w:t>
      </w:r>
    </w:p>
    <w:p w14:paraId="1795EC54">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14:paraId="5828376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atLeast"/>
        <w:ind w:left="0" w:right="0" w:firstLine="600" w:firstLineChars="200"/>
        <w:jc w:val="left"/>
        <w:textAlignment w:val="auto"/>
        <w:rPr>
          <w:rFonts w:hint="default" w:eastAsia="仿宋"/>
          <w:lang w:val="en-US" w:eastAsia="zh-CN"/>
        </w:rPr>
      </w:pPr>
      <w:r>
        <w:rPr>
          <w:rFonts w:hint="eastAsia" w:ascii="仿宋" w:hAnsi="仿宋" w:eastAsia="仿宋"/>
          <w:kern w:val="0"/>
          <w:sz w:val="30"/>
          <w:szCs w:val="30"/>
          <w:lang w:val="en-US" w:eastAsia="zh-CN"/>
        </w:rPr>
        <w:t>（二）</w:t>
      </w:r>
      <w:r>
        <w:rPr>
          <w:rFonts w:hint="eastAsia" w:ascii="仿宋" w:hAnsi="仿宋" w:eastAsia="仿宋" w:cs="仿宋"/>
          <w:kern w:val="0"/>
          <w:sz w:val="30"/>
          <w:szCs w:val="30"/>
          <w:lang w:val="en-US" w:eastAsia="zh-CN" w:bidi="ar"/>
        </w:rPr>
        <w:t>其他收入：指除财政拨款、事业收入、事业单位经营收入等以外的各项收入。</w:t>
      </w:r>
    </w:p>
    <w:p w14:paraId="5B52975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三</w:t>
      </w:r>
      <w:r>
        <w:rPr>
          <w:rFonts w:hint="eastAsia" w:ascii="仿宋" w:hAnsi="仿宋" w:eastAsia="仿宋"/>
          <w:kern w:val="0"/>
          <w:sz w:val="30"/>
          <w:szCs w:val="30"/>
        </w:rPr>
        <w:t>）上年结转和结余：填列</w:t>
      </w:r>
      <w:r>
        <w:rPr>
          <w:rFonts w:hint="eastAsia" w:ascii="仿宋" w:hAnsi="仿宋" w:eastAsia="仿宋"/>
          <w:kern w:val="0"/>
          <w:sz w:val="30"/>
          <w:szCs w:val="30"/>
          <w:lang w:eastAsia="zh-CN"/>
        </w:rPr>
        <w:t>2021</w:t>
      </w:r>
      <w:r>
        <w:rPr>
          <w:rFonts w:hint="eastAsia" w:ascii="仿宋" w:hAnsi="仿宋" w:eastAsia="仿宋"/>
          <w:kern w:val="0"/>
          <w:sz w:val="30"/>
          <w:szCs w:val="30"/>
        </w:rPr>
        <w:t>年全部结转和结余的资金数，包括当年结转结余资金和历年滚存结转结余资金。</w:t>
      </w:r>
    </w:p>
    <w:p w14:paraId="239753C6">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二、支出科目</w:t>
      </w:r>
    </w:p>
    <w:p w14:paraId="610F7AA5">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（一）基本支出：反映为保障机构正常运转、完成日常 工作任务而发生的人员支出和公用支出。 </w:t>
      </w:r>
    </w:p>
    <w:p w14:paraId="1A54D7E4">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（二）项目支出：反映在基本支出之外为完成特定行政任务和事业发展目标所发生的支出。</w:t>
      </w:r>
    </w:p>
    <w:p w14:paraId="79645F7B">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 xml:space="preserve">）“三公”经费：反映纳入财政预决算管理的“三 公”经费，包括因公出国（境）费、公务用车购置及运行费、公务接待费。其中，因公出国（境）费反映单位公务出国（境）的国际旅费、国外城市间交通费、住宿费、伙食费、培训费、公杂费等支出；公务用车购置及运行费反映单位公务用车车 辆购置支出（含车辆购置税）及租用费、燃料费、维修费、过路过桥费、保险费、安全奖励费用等支出；公务接待费反 映单位按规定开支的各类公务接待（含外宾接待）支出。 </w:t>
      </w:r>
    </w:p>
    <w:p w14:paraId="4D0B31D0">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机关运行经费：为保障行政单位（包括参照公务员法管理的事业单位）运行，用于购买货物和服务的各项资金。包括办公费、印刷费、水电费、邮电费、物业管理费、差旅费、会议费、福利费、维修（护）费、培训费、专用材料费、办公设备及办公家俱购置费、劳务费、因公出国（境）费、公务用车购置及运行费、公务接待费、其他交通费以及其他费用。</w:t>
      </w:r>
    </w:p>
    <w:p w14:paraId="021816C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五</w:t>
      </w:r>
      <w:r>
        <w:rPr>
          <w:rFonts w:hint="eastAsia" w:ascii="仿宋" w:hAnsi="仿宋" w:eastAsia="仿宋"/>
          <w:kern w:val="0"/>
          <w:sz w:val="30"/>
          <w:szCs w:val="30"/>
        </w:rPr>
        <w:t>）社会保障和就业支出（类）民政管理事务（款）其他民政管理事务支出（项）：反应民政部门接待来访、法制建设、政策宣传方面的支出以及开展优抚安置、救灾减灾、社会救助、社会福利、社会事务、信息化建设等方面的支出。</w:t>
      </w:r>
    </w:p>
    <w:p w14:paraId="34AF9F78">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六</w:t>
      </w:r>
      <w:r>
        <w:rPr>
          <w:rFonts w:hint="eastAsia" w:ascii="仿宋" w:hAnsi="仿宋" w:eastAsia="仿宋"/>
          <w:kern w:val="0"/>
          <w:sz w:val="30"/>
          <w:szCs w:val="30"/>
        </w:rPr>
        <w:t>）社会保障和就业支出（类）行政事业单位养老支出（款）行政单位离退休（项）：反映行政单位（包括实行公务员管理的事业单位）开支的离退休经费。</w:t>
      </w:r>
    </w:p>
    <w:p w14:paraId="164E4A5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七</w:t>
      </w:r>
      <w:r>
        <w:rPr>
          <w:rFonts w:hint="eastAsia" w:ascii="仿宋" w:hAnsi="仿宋" w:eastAsia="仿宋"/>
          <w:kern w:val="0"/>
          <w:sz w:val="30"/>
          <w:szCs w:val="30"/>
        </w:rPr>
        <w:t>）社会保障和就业支出（类）行政事业单位养老支出（款）事业单位离退休（项）：反映事业单位开支的离退休经费。</w:t>
      </w:r>
    </w:p>
    <w:p w14:paraId="657B2A4A">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八</w:t>
      </w:r>
      <w:r>
        <w:rPr>
          <w:rFonts w:hint="eastAsia" w:ascii="仿宋" w:hAnsi="仿宋" w:eastAsia="仿宋"/>
          <w:kern w:val="0"/>
          <w:sz w:val="30"/>
          <w:szCs w:val="30"/>
        </w:rPr>
        <w:t>）社会保障和就业支出（类）行政事业单位养老支出（款）机关事业单位基本养老保险缴费支出（项）：反映机关事业单位实施养老保险制度由单位缴纳的基本养老保险费支出。</w:t>
      </w:r>
    </w:p>
    <w:p w14:paraId="247E389A">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九</w:t>
      </w:r>
      <w:r>
        <w:rPr>
          <w:rFonts w:hint="eastAsia" w:ascii="仿宋" w:hAnsi="仿宋" w:eastAsia="仿宋"/>
          <w:kern w:val="0"/>
          <w:sz w:val="30"/>
          <w:szCs w:val="30"/>
        </w:rPr>
        <w:t>）社会保障和就业支出（类）抚恤（款）其他优抚支出（项）：反映春节及八一走访慰问项目支出。</w:t>
      </w:r>
    </w:p>
    <w:p w14:paraId="4953FE66">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w:t>
      </w:r>
      <w:r>
        <w:rPr>
          <w:rFonts w:hint="eastAsia" w:ascii="仿宋" w:hAnsi="仿宋" w:eastAsia="仿宋"/>
          <w:kern w:val="0"/>
          <w:sz w:val="30"/>
          <w:szCs w:val="30"/>
        </w:rPr>
        <w:t>）社会保障和就业支出（类）退役安置（款） 退役士兵安置（项）：对符合条件的退役士兵、转业士官的安置支出。</w:t>
      </w:r>
    </w:p>
    <w:p w14:paraId="377D9225">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十一</w:t>
      </w:r>
      <w:r>
        <w:rPr>
          <w:rFonts w:hint="eastAsia" w:ascii="仿宋" w:hAnsi="仿宋" w:eastAsia="仿宋"/>
          <w:kern w:val="0"/>
          <w:sz w:val="30"/>
          <w:szCs w:val="30"/>
        </w:rPr>
        <w:t>）社会保障和就业支出（类）退役安置（款） 军队移交政府离退休干部管理机构（项）：反应民政部门管理的军休所的人员经费、公用经费以及管理机构用法建设经费等支出。</w:t>
      </w:r>
    </w:p>
    <w:p w14:paraId="1A99C9D8">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十二</w:t>
      </w:r>
      <w:r>
        <w:rPr>
          <w:rFonts w:hint="eastAsia" w:ascii="仿宋" w:hAnsi="仿宋" w:eastAsia="仿宋"/>
          <w:kern w:val="0"/>
          <w:sz w:val="30"/>
          <w:szCs w:val="30"/>
        </w:rPr>
        <w:t>）社会保障和就业支出（类）退役安置（款） 军队转业干部安置（项）：反映军转干部安置、人员经费、自主择业退役金等方面的支出。</w:t>
      </w:r>
    </w:p>
    <w:p w14:paraId="02EDBBC2">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十三</w:t>
      </w:r>
      <w:r>
        <w:rPr>
          <w:rFonts w:hint="eastAsia" w:ascii="仿宋" w:hAnsi="仿宋" w:eastAsia="仿宋"/>
          <w:kern w:val="0"/>
          <w:sz w:val="30"/>
          <w:szCs w:val="30"/>
        </w:rPr>
        <w:t>）社会保障和就业支出（类）退役安置（款） 其他退役安置支出（项）：反映上述项目以外的用于退役安置方面的支出。</w:t>
      </w:r>
    </w:p>
    <w:p w14:paraId="3D116713">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十四</w:t>
      </w:r>
      <w:r>
        <w:rPr>
          <w:rFonts w:hint="eastAsia" w:ascii="仿宋" w:hAnsi="仿宋" w:eastAsia="仿宋"/>
          <w:kern w:val="0"/>
          <w:sz w:val="30"/>
          <w:szCs w:val="30"/>
        </w:rPr>
        <w:t>）社会保障和就业支出（类）退役军人管理事务（款） 行政运行（项）：反映行政单位的基本支出。</w:t>
      </w:r>
    </w:p>
    <w:p w14:paraId="4163F0E8">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五</w:t>
      </w:r>
      <w:r>
        <w:rPr>
          <w:rFonts w:hint="eastAsia" w:ascii="仿宋" w:hAnsi="仿宋" w:eastAsia="仿宋"/>
          <w:kern w:val="0"/>
          <w:sz w:val="30"/>
          <w:szCs w:val="30"/>
        </w:rPr>
        <w:t>）社会保障和就业支出（类）退役军人管理事务（款） 拥军优属（项）：反映拥军优属活动的支出。</w:t>
      </w:r>
    </w:p>
    <w:p w14:paraId="159BFB31">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六</w:t>
      </w:r>
      <w:r>
        <w:rPr>
          <w:rFonts w:hint="eastAsia" w:ascii="仿宋" w:hAnsi="仿宋" w:eastAsia="仿宋"/>
          <w:kern w:val="0"/>
          <w:sz w:val="30"/>
          <w:szCs w:val="30"/>
        </w:rPr>
        <w:t>）社会保障和就业支出（类）退役军人管理事务（款） 部队供应（项）：反映军供站等用于保障军队运输和饮食供应的支出。</w:t>
      </w:r>
    </w:p>
    <w:p w14:paraId="09E922AB">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七</w:t>
      </w:r>
      <w:r>
        <w:rPr>
          <w:rFonts w:hint="eastAsia" w:ascii="仿宋" w:hAnsi="仿宋" w:eastAsia="仿宋"/>
          <w:kern w:val="0"/>
          <w:sz w:val="30"/>
          <w:szCs w:val="30"/>
        </w:rPr>
        <w:t>）社会保障和就业支出（类）退役军人管理事务（款） 其他退役军人事务管理支出（项）：反映除上述项目以外的其他用于退役军人事务管理方面的支出。</w:t>
      </w:r>
    </w:p>
    <w:p w14:paraId="4F7A2A8D">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八</w:t>
      </w:r>
      <w:r>
        <w:rPr>
          <w:rFonts w:hint="eastAsia" w:ascii="仿宋" w:hAnsi="仿宋" w:eastAsia="仿宋"/>
          <w:kern w:val="0"/>
          <w:sz w:val="30"/>
          <w:szCs w:val="30"/>
        </w:rPr>
        <w:t>）社会保障和就业支出（类）其他社会保障和就业支出（款）其他社会保障和就业支出（项）：反映其他用于其他社会保障和就业支出方面的支出。</w:t>
      </w:r>
    </w:p>
    <w:p w14:paraId="7C3F5CA5">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w:t>
      </w:r>
      <w:r>
        <w:rPr>
          <w:rFonts w:hint="eastAsia" w:ascii="仿宋" w:hAnsi="仿宋" w:eastAsia="仿宋"/>
          <w:kern w:val="0"/>
          <w:sz w:val="30"/>
          <w:szCs w:val="30"/>
          <w:lang w:val="en-US" w:eastAsia="zh-CN"/>
        </w:rPr>
        <w:t>九</w:t>
      </w:r>
      <w:r>
        <w:rPr>
          <w:rFonts w:hint="eastAsia" w:ascii="仿宋" w:hAnsi="仿宋" w:eastAsia="仿宋"/>
          <w:kern w:val="0"/>
          <w:sz w:val="30"/>
          <w:szCs w:val="30"/>
        </w:rPr>
        <w:t>）卫生健康支出（类）行政事业单位医疗（款）行政单位医疗（项）：反映财政部门安排的行政单位（包括实行公务员管理的事业单位）基本医疗保险缴费经费。</w:t>
      </w:r>
    </w:p>
    <w:p w14:paraId="380DFF4D">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w:t>
      </w:r>
      <w:r>
        <w:rPr>
          <w:rFonts w:hint="eastAsia" w:ascii="仿宋" w:hAnsi="仿宋" w:eastAsia="仿宋"/>
          <w:kern w:val="0"/>
          <w:sz w:val="30"/>
          <w:szCs w:val="30"/>
        </w:rPr>
        <w:t>）卫生健康支出（类）行政事业单位医疗（款）事业单位医疗（项）：反映财政部门安排的事业单位基本医疗保险缴费经费。</w:t>
      </w:r>
    </w:p>
    <w:p w14:paraId="70183F9A">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二十一</w:t>
      </w:r>
      <w:r>
        <w:rPr>
          <w:rFonts w:hint="eastAsia" w:ascii="仿宋" w:hAnsi="仿宋" w:eastAsia="仿宋"/>
          <w:kern w:val="0"/>
          <w:sz w:val="30"/>
          <w:szCs w:val="30"/>
        </w:rPr>
        <w:t>）卫生健康支出（类）行政事业单位医疗（款）公务员医疗补助（项）：反映财政部门安排的公务员医疗补助经费。</w:t>
      </w:r>
    </w:p>
    <w:p w14:paraId="2A9C0A5E">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二十二</w:t>
      </w:r>
      <w:r>
        <w:rPr>
          <w:rFonts w:hint="eastAsia" w:ascii="仿宋" w:hAnsi="仿宋" w:eastAsia="仿宋"/>
          <w:kern w:val="0"/>
          <w:sz w:val="30"/>
          <w:szCs w:val="30"/>
        </w:rPr>
        <w:t>）卫生健康支出（类）行政事业单位医疗（款）其他行政事业单位医疗支出（项）：反映除上述项目以外的其他用于行政事业单位医疗方面的支出。</w:t>
      </w:r>
    </w:p>
    <w:p w14:paraId="28B3AA4D">
      <w:pPr>
        <w:ind w:firstLine="600" w:firstLineChars="200"/>
        <w:rPr>
          <w:rFonts w:hint="eastAsia" w:ascii="仿宋" w:hAnsi="仿宋" w:eastAsia="仿宋"/>
          <w:kern w:val="0"/>
          <w:sz w:val="30"/>
          <w:szCs w:val="30"/>
        </w:rPr>
      </w:pPr>
      <w:r>
        <w:rPr>
          <w:rFonts w:hint="eastAsia" w:ascii="仿宋" w:hAnsi="仿宋" w:eastAsia="仿宋"/>
          <w:kern w:val="0"/>
          <w:sz w:val="30"/>
          <w:szCs w:val="30"/>
        </w:rPr>
        <w:t>（</w:t>
      </w:r>
      <w:r>
        <w:rPr>
          <w:rFonts w:hint="eastAsia" w:ascii="仿宋" w:hAnsi="仿宋" w:eastAsia="仿宋"/>
          <w:kern w:val="0"/>
          <w:sz w:val="30"/>
          <w:szCs w:val="30"/>
          <w:lang w:val="en-US" w:eastAsia="zh-CN"/>
        </w:rPr>
        <w:t>二十三</w:t>
      </w:r>
      <w:r>
        <w:rPr>
          <w:rFonts w:hint="eastAsia" w:ascii="仿宋" w:hAnsi="仿宋" w:eastAsia="仿宋"/>
          <w:kern w:val="0"/>
          <w:sz w:val="30"/>
          <w:szCs w:val="30"/>
        </w:rPr>
        <w:t xml:space="preserve">）住房保障支出（类） 住房改革支出（款）住房公积金（项）：住房公积金的支出。 </w:t>
      </w:r>
    </w:p>
    <w:p w14:paraId="38D1E594">
      <w:pPr>
        <w:pStyle w:val="2"/>
        <w:rPr>
          <w:rFonts w:hint="eastAsia" w:ascii="仿宋" w:hAnsi="仿宋" w:eastAsia="仿宋"/>
          <w:kern w:val="0"/>
          <w:sz w:val="30"/>
          <w:szCs w:val="30"/>
        </w:rPr>
      </w:pPr>
    </w:p>
    <w:p w14:paraId="01526B4E">
      <w:pPr>
        <w:pStyle w:val="2"/>
        <w:rPr>
          <w:rFonts w:hint="eastAsia" w:ascii="仿宋" w:hAnsi="仿宋" w:eastAsia="仿宋"/>
          <w:kern w:val="0"/>
          <w:sz w:val="30"/>
          <w:szCs w:val="30"/>
        </w:rPr>
      </w:pPr>
    </w:p>
    <w:p w14:paraId="3D128B8F">
      <w:pPr>
        <w:pStyle w:val="2"/>
        <w:rPr>
          <w:rFonts w:hint="eastAsia" w:ascii="仿宋" w:hAnsi="仿宋" w:eastAsia="仿宋"/>
          <w:kern w:val="0"/>
          <w:sz w:val="30"/>
          <w:szCs w:val="30"/>
        </w:rPr>
      </w:pPr>
    </w:p>
    <w:p w14:paraId="2FBB6840">
      <w:pPr>
        <w:pStyle w:val="2"/>
        <w:rPr>
          <w:rFonts w:hint="eastAsia" w:ascii="仿宋" w:hAnsi="仿宋" w:eastAsia="仿宋"/>
          <w:kern w:val="0"/>
          <w:sz w:val="30"/>
          <w:szCs w:val="30"/>
        </w:rPr>
      </w:pPr>
    </w:p>
    <w:p w14:paraId="6D607FCC">
      <w:pPr>
        <w:pStyle w:val="2"/>
        <w:jc w:val="right"/>
        <w:rPr>
          <w:rFonts w:hint="default" w:ascii="仿宋" w:hAnsi="仿宋" w:eastAsia="仿宋"/>
          <w:kern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4C65B"/>
    <w:multiLevelType w:val="singleLevel"/>
    <w:tmpl w:val="9E74C65B"/>
    <w:lvl w:ilvl="0" w:tentative="0">
      <w:start w:val="2"/>
      <w:numFmt w:val="chineseCounting"/>
      <w:suff w:val="space"/>
      <w:lvlText w:val="第%1部分"/>
      <w:lvlJc w:val="left"/>
      <w:rPr>
        <w:rFonts w:hint="eastAsia"/>
      </w:rPr>
    </w:lvl>
  </w:abstractNum>
  <w:abstractNum w:abstractNumId="1">
    <w:nsid w:val="E2696A5B"/>
    <w:multiLevelType w:val="singleLevel"/>
    <w:tmpl w:val="E2696A5B"/>
    <w:lvl w:ilvl="0" w:tentative="0">
      <w:start w:val="1"/>
      <w:numFmt w:val="chineseCounting"/>
      <w:suff w:val="nothing"/>
      <w:lvlText w:val="（%1）"/>
      <w:lvlJc w:val="left"/>
      <w:rPr>
        <w:rFonts w:hint="eastAsia"/>
      </w:rPr>
    </w:lvl>
  </w:abstractNum>
  <w:abstractNum w:abstractNumId="2">
    <w:nsid w:val="09E5B507"/>
    <w:multiLevelType w:val="singleLevel"/>
    <w:tmpl w:val="09E5B507"/>
    <w:lvl w:ilvl="0" w:tentative="0">
      <w:start w:val="1"/>
      <w:numFmt w:val="chineseCounting"/>
      <w:suff w:val="nothing"/>
      <w:lvlText w:val="（%1）"/>
      <w:lvlJc w:val="left"/>
      <w:rPr>
        <w:rFonts w:hint="eastAsia"/>
      </w:rPr>
    </w:lvl>
  </w:abstractNum>
  <w:abstractNum w:abstractNumId="3">
    <w:nsid w:val="34840F1F"/>
    <w:multiLevelType w:val="singleLevel"/>
    <w:tmpl w:val="34840F1F"/>
    <w:lvl w:ilvl="0" w:tentative="0">
      <w:start w:val="1"/>
      <w:numFmt w:val="chineseCounting"/>
      <w:suff w:val="nothing"/>
      <w:lvlText w:val="%1、"/>
      <w:lvlJc w:val="left"/>
      <w:rPr>
        <w:rFonts w:hint="eastAsia"/>
      </w:rPr>
    </w:lvl>
  </w:abstractNum>
  <w:abstractNum w:abstractNumId="4">
    <w:nsid w:val="4DBCB15D"/>
    <w:multiLevelType w:val="singleLevel"/>
    <w:tmpl w:val="4DBCB15D"/>
    <w:lvl w:ilvl="0" w:tentative="0">
      <w:start w:val="1"/>
      <w:numFmt w:val="chineseCounting"/>
      <w:suff w:val="nothing"/>
      <w:lvlText w:val="%1、"/>
      <w:lvlJc w:val="left"/>
      <w:rPr>
        <w:rFonts w:hint="eastAsia"/>
      </w:rPr>
    </w:lvl>
  </w:abstractNum>
  <w:abstractNum w:abstractNumId="5">
    <w:nsid w:val="508790A7"/>
    <w:multiLevelType w:val="singleLevel"/>
    <w:tmpl w:val="508790A7"/>
    <w:lvl w:ilvl="0" w:tentative="0">
      <w:start w:val="1"/>
      <w:numFmt w:val="chineseCounting"/>
      <w:suff w:val="nothing"/>
      <w:lvlText w:val="（%1）"/>
      <w:lvlJc w:val="left"/>
      <w:rPr>
        <w:rFonts w:hint="eastAsia"/>
      </w:rPr>
    </w:lvl>
  </w:abstractNum>
  <w:abstractNum w:abstractNumId="6">
    <w:nsid w:val="7345AD02"/>
    <w:multiLevelType w:val="singleLevel"/>
    <w:tmpl w:val="7345AD02"/>
    <w:lvl w:ilvl="0" w:tentative="0">
      <w:start w:val="1"/>
      <w:numFmt w:val="chineseCounting"/>
      <w:suff w:val="nothing"/>
      <w:lvlText w:val="（%1）"/>
      <w:lvlJc w:val="left"/>
      <w:rPr>
        <w:rFonts w:hint="eastAsia"/>
      </w:rPr>
    </w:lvl>
  </w:abstractNum>
  <w:num w:numId="1">
    <w:abstractNumId w:val="0"/>
  </w:num>
  <w:num w:numId="2">
    <w:abstractNumId w:val="5"/>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WFjNGFmMDFjYjY3OTU5YTc5MGYxZmU2Y2M4ZTQifQ=="/>
  </w:docVars>
  <w:rsids>
    <w:rsidRoot w:val="00000000"/>
    <w:rsid w:val="07361C72"/>
    <w:rsid w:val="0B0F5035"/>
    <w:rsid w:val="0BF87C07"/>
    <w:rsid w:val="0E7B0089"/>
    <w:rsid w:val="0F1B0B98"/>
    <w:rsid w:val="0FDE12D6"/>
    <w:rsid w:val="0FF44894"/>
    <w:rsid w:val="185E3C0B"/>
    <w:rsid w:val="1B0A5729"/>
    <w:rsid w:val="20F628BA"/>
    <w:rsid w:val="22A85C3D"/>
    <w:rsid w:val="242332EA"/>
    <w:rsid w:val="262C5BFB"/>
    <w:rsid w:val="26964247"/>
    <w:rsid w:val="276E51C4"/>
    <w:rsid w:val="2ED95618"/>
    <w:rsid w:val="352A495A"/>
    <w:rsid w:val="3793334B"/>
    <w:rsid w:val="37FC07D4"/>
    <w:rsid w:val="380A3C85"/>
    <w:rsid w:val="3999181C"/>
    <w:rsid w:val="3C160F53"/>
    <w:rsid w:val="3D1E069A"/>
    <w:rsid w:val="3E3C203C"/>
    <w:rsid w:val="3E5C76CC"/>
    <w:rsid w:val="42731B53"/>
    <w:rsid w:val="42E90224"/>
    <w:rsid w:val="445A5C5F"/>
    <w:rsid w:val="456D6663"/>
    <w:rsid w:val="511C3F63"/>
    <w:rsid w:val="5AAE76C8"/>
    <w:rsid w:val="5D2651CC"/>
    <w:rsid w:val="5DB8630B"/>
    <w:rsid w:val="5F0C25F1"/>
    <w:rsid w:val="5F1E5097"/>
    <w:rsid w:val="62115B72"/>
    <w:rsid w:val="65162FEF"/>
    <w:rsid w:val="723A3732"/>
    <w:rsid w:val="764A4A9E"/>
    <w:rsid w:val="7C946478"/>
    <w:rsid w:val="7C94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szCs w:val="21"/>
    </w:rPr>
  </w:style>
  <w:style w:type="paragraph" w:styleId="3">
    <w:name w:val="Body Text"/>
    <w:basedOn w:val="1"/>
    <w:qFormat/>
    <w:uiPriority w:val="0"/>
  </w:style>
  <w:style w:type="paragraph" w:styleId="4">
    <w:name w:val="Body Text Indent"/>
    <w:basedOn w:val="1"/>
    <w:qFormat/>
    <w:uiPriority w:val="0"/>
    <w:pPr>
      <w:adjustRightInd w:val="0"/>
      <w:snapToGrid w:val="0"/>
      <w:spacing w:line="560" w:lineRule="atLeast"/>
      <w:ind w:firstLine="640" w:firstLineChars="200"/>
    </w:pPr>
    <w:rPr>
      <w:kern w:val="0"/>
      <w:szCs w:val="28"/>
    </w:rPr>
  </w:style>
  <w:style w:type="paragraph" w:styleId="5">
    <w:name w:val="Plain Text"/>
    <w:basedOn w:val="1"/>
    <w:qFormat/>
    <w:uiPriority w:val="0"/>
    <w:rPr>
      <w:rFonts w:ascii="宋体" w:hAnsi="Courier New"/>
    </w:rPr>
  </w:style>
  <w:style w:type="paragraph" w:styleId="6">
    <w:name w:val="Title"/>
    <w:basedOn w:val="1"/>
    <w:next w:val="1"/>
    <w:qFormat/>
    <w:uiPriority w:val="0"/>
    <w:pPr>
      <w:spacing w:before="240" w:beforeLines="0" w:after="60" w:afterLines="0"/>
      <w:jc w:val="center"/>
      <w:outlineLvl w:val="0"/>
    </w:pPr>
    <w:rPr>
      <w:rFonts w:ascii="Cambria" w:hAnsi="Cambria" w:eastAsia="宋体"/>
      <w:b/>
      <w:bCs/>
      <w:kern w:val="0"/>
      <w:szCs w:val="32"/>
    </w:rPr>
  </w:style>
  <w:style w:type="paragraph" w:customStyle="1" w:styleId="9">
    <w:name w:val="p0"/>
    <w:basedOn w:val="1"/>
    <w:qFormat/>
    <w:uiPriority w:val="0"/>
    <w:pPr>
      <w:widowControl/>
    </w:pPr>
    <w:rPr>
      <w:kern w:val="0"/>
      <w:szCs w:val="21"/>
    </w:rPr>
  </w:style>
  <w:style w:type="paragraph" w:customStyle="1" w:styleId="10">
    <w:name w:val="办公自动化专用标题"/>
    <w:basedOn w:val="6"/>
    <w:qFormat/>
    <w:uiPriority w:val="0"/>
    <w:pPr>
      <w:spacing w:line="560" w:lineRule="atLeast"/>
    </w:pPr>
    <w:rPr>
      <w:rFonts w:ascii="宋体" w:hAnsi="Arial" w:cs="Times New Roman"/>
      <w:bCs w:val="0"/>
      <w:sz w:val="4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9609</Words>
  <Characters>10345</Characters>
  <Lines>0</Lines>
  <Paragraphs>0</Paragraphs>
  <TotalTime>0</TotalTime>
  <ScaleCrop>false</ScaleCrop>
  <LinksUpToDate>false</LinksUpToDate>
  <CharactersWithSpaces>10527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zjl</cp:lastModifiedBy>
  <dcterms:modified xsi:type="dcterms:W3CDTF">2026-07-10T02:48:37Z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FD4ED8B922774D88BFF098F706984582</vt:lpwstr>
  </property>
  <property fmtid="{D5CDD505-2E9C-101B-9397-08002B2CF9AE}" pid="4" name="KSOTemplateDocerSaveRecord">
    <vt:lpwstr>eyJoZGlkIjoiNWQ3ZmNmZTc0YzFmOWNjNGU5ZDMxMjAzMTcyYzhjZTMiLCJ1c2VySWQiOiI1MDI5MTkxMDkifQ==</vt:lpwstr>
  </property>
</Properties>
</file>