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eastAsia="黑体"/>
          <w:sz w:val="44"/>
          <w:szCs w:val="36"/>
          <w:lang w:val="en-US" w:eastAsia="zh-CN"/>
        </w:rPr>
      </w:pPr>
      <w:r>
        <w:rPr>
          <w:rFonts w:hint="eastAsia" w:ascii="黑体" w:eastAsia="黑体"/>
          <w:sz w:val="44"/>
          <w:szCs w:val="36"/>
          <w:lang w:val="en-US" w:eastAsia="zh-CN"/>
        </w:rPr>
        <w:t>景德镇军供站</w:t>
      </w:r>
    </w:p>
    <w:p>
      <w:pPr>
        <w:spacing w:line="600" w:lineRule="exact"/>
        <w:jc w:val="center"/>
        <w:rPr>
          <w:rFonts w:hint="eastAsia" w:ascii="宋体" w:hAnsi="宋体" w:cs="宋体"/>
          <w:b/>
          <w:bCs/>
          <w:sz w:val="44"/>
          <w:szCs w:val="36"/>
        </w:rPr>
      </w:pPr>
      <w:r>
        <w:rPr>
          <w:rFonts w:hint="eastAsia" w:ascii="宋体" w:hAnsi="宋体" w:cs="宋体"/>
          <w:b/>
          <w:bCs/>
          <w:sz w:val="44"/>
          <w:szCs w:val="36"/>
        </w:rPr>
        <w:t>2020年度部门决算</w:t>
      </w:r>
    </w:p>
    <w:p>
      <w:pPr>
        <w:spacing w:line="600" w:lineRule="exact"/>
        <w:jc w:val="center"/>
        <w:rPr>
          <w:rFonts w:hint="eastAsia" w:ascii="黑体" w:hAnsi="Calibri" w:eastAsia="黑体"/>
          <w:sz w:val="44"/>
          <w:szCs w:val="36"/>
        </w:rPr>
      </w:pPr>
    </w:p>
    <w:p>
      <w:pPr>
        <w:spacing w:line="600" w:lineRule="exact"/>
        <w:jc w:val="center"/>
        <w:rPr>
          <w:rFonts w:hint="eastAsia" w:ascii="宋体" w:hAnsi="宋体" w:cs="宋体"/>
          <w:b/>
          <w:bCs/>
          <w:sz w:val="40"/>
          <w:szCs w:val="36"/>
        </w:rPr>
      </w:pPr>
      <w:r>
        <w:rPr>
          <w:rFonts w:hint="eastAsia" w:ascii="宋体" w:hAnsi="宋体" w:cs="宋体"/>
          <w:b/>
          <w:bCs/>
          <w:sz w:val="40"/>
          <w:szCs w:val="36"/>
        </w:rPr>
        <w:t>目    录</w:t>
      </w:r>
    </w:p>
    <w:p>
      <w:pPr>
        <w:widowControl/>
        <w:spacing w:line="600" w:lineRule="exact"/>
        <w:ind w:firstLine="640"/>
        <w:jc w:val="left"/>
        <w:rPr>
          <w:rFonts w:hint="eastAsia" w:ascii="仿宋_GB2312" w:hAnsi="Calibri" w:eastAsia="仿宋_GB2312"/>
          <w:sz w:val="32"/>
          <w:szCs w:val="30"/>
        </w:rPr>
      </w:pPr>
    </w:p>
    <w:p>
      <w:pPr>
        <w:widowControl/>
        <w:spacing w:line="600" w:lineRule="exact"/>
        <w:ind w:firstLine="64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</w:t>
      </w:r>
      <w:r>
        <w:rPr>
          <w:rFonts w:hint="eastAsia" w:ascii="黑体" w:hAnsi="黑体" w:eastAsia="黑体"/>
          <w:b/>
          <w:sz w:val="32"/>
          <w:szCs w:val="32"/>
        </w:rPr>
        <w:t xml:space="preserve"> 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景德镇军供站</w:t>
      </w:r>
      <w:r>
        <w:rPr>
          <w:rFonts w:hint="eastAsia" w:ascii="黑体" w:hAnsi="黑体" w:eastAsia="黑体"/>
          <w:sz w:val="32"/>
          <w:szCs w:val="32"/>
        </w:rPr>
        <w:t>部门概况</w:t>
      </w:r>
    </w:p>
    <w:p>
      <w:pPr>
        <w:widowControl/>
        <w:spacing w:line="600" w:lineRule="exact"/>
        <w:ind w:firstLine="64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/>
          <w:b/>
          <w:sz w:val="32"/>
          <w:szCs w:val="30"/>
        </w:rPr>
        <w:t xml:space="preserve"> </w:t>
      </w: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 xml:space="preserve">   一、部门主要职责</w:t>
      </w:r>
    </w:p>
    <w:p>
      <w:pPr>
        <w:widowControl/>
        <w:spacing w:line="600" w:lineRule="exact"/>
        <w:ind w:firstLine="64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 xml:space="preserve">    二、部门基本情况</w:t>
      </w:r>
    </w:p>
    <w:p>
      <w:pPr>
        <w:widowControl/>
        <w:spacing w:line="600" w:lineRule="exact"/>
        <w:ind w:firstLine="64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第二部分  2020年度部门决算表</w:t>
      </w:r>
    </w:p>
    <w:p>
      <w:pPr>
        <w:widowControl/>
        <w:spacing w:line="600" w:lineRule="exact"/>
        <w:ind w:firstLine="1280" w:firstLineChars="40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一、收入支出决算总表</w:t>
      </w:r>
    </w:p>
    <w:p>
      <w:pPr>
        <w:widowControl/>
        <w:spacing w:line="600" w:lineRule="exact"/>
        <w:ind w:firstLine="1280" w:firstLineChars="40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二、收入决算表</w:t>
      </w:r>
    </w:p>
    <w:p>
      <w:pPr>
        <w:widowControl/>
        <w:spacing w:line="600" w:lineRule="exact"/>
        <w:ind w:firstLine="64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 xml:space="preserve">    三、支出决算表</w:t>
      </w:r>
    </w:p>
    <w:p>
      <w:pPr>
        <w:widowControl/>
        <w:spacing w:line="600" w:lineRule="exact"/>
        <w:ind w:firstLine="64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 xml:space="preserve">    四、财政拨款收入支出决算总表</w:t>
      </w:r>
    </w:p>
    <w:p>
      <w:pPr>
        <w:widowControl/>
        <w:spacing w:line="600" w:lineRule="exact"/>
        <w:ind w:firstLine="64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 xml:space="preserve">    五、一般公共预算财政拨款支出决算表</w:t>
      </w:r>
    </w:p>
    <w:p>
      <w:pPr>
        <w:widowControl/>
        <w:spacing w:line="600" w:lineRule="exact"/>
        <w:ind w:firstLine="64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 xml:space="preserve">    六、一般公共预算财政拨款基本支出决算表</w:t>
      </w:r>
    </w:p>
    <w:p>
      <w:pPr>
        <w:widowControl/>
        <w:spacing w:line="600" w:lineRule="exact"/>
        <w:ind w:firstLine="64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 xml:space="preserve">    七、一般公共预算财政拨款“三公”经费支出决算表</w:t>
      </w:r>
    </w:p>
    <w:p>
      <w:pPr>
        <w:widowControl/>
        <w:numPr>
          <w:ilvl w:val="0"/>
          <w:numId w:val="1"/>
        </w:numPr>
        <w:spacing w:line="600" w:lineRule="exact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政府性基金预算财政拨款收入支出决算表</w:t>
      </w:r>
    </w:p>
    <w:p>
      <w:pPr>
        <w:widowControl/>
        <w:numPr>
          <w:ilvl w:val="0"/>
          <w:numId w:val="1"/>
        </w:numPr>
        <w:spacing w:line="600" w:lineRule="exact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国有资本经营预算财政拨款支出决算表</w:t>
      </w:r>
    </w:p>
    <w:p>
      <w:pPr>
        <w:widowControl/>
        <w:spacing w:line="600" w:lineRule="exact"/>
        <w:ind w:firstLine="64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 xml:space="preserve">    十、国有资产占用情况表</w:t>
      </w:r>
    </w:p>
    <w:p>
      <w:pPr>
        <w:widowControl/>
        <w:spacing w:line="600" w:lineRule="exact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</w:t>
      </w:r>
      <w:r>
        <w:rPr>
          <w:rFonts w:hint="eastAsia" w:ascii="黑体" w:hAnsi="黑体" w:eastAsia="黑体"/>
          <w:sz w:val="32"/>
          <w:szCs w:val="32"/>
        </w:rPr>
        <w:t>第三部分  2020年度部门决算情况说明</w:t>
      </w:r>
    </w:p>
    <w:p>
      <w:pPr>
        <w:widowControl/>
        <w:spacing w:line="600" w:lineRule="exact"/>
        <w:ind w:firstLine="1280" w:firstLineChars="40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一、收入决算情况说明</w:t>
      </w:r>
    </w:p>
    <w:p>
      <w:pPr>
        <w:widowControl/>
        <w:spacing w:line="600" w:lineRule="exact"/>
        <w:ind w:firstLine="1280" w:firstLineChars="40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二、支出决算情况说明</w:t>
      </w:r>
    </w:p>
    <w:p>
      <w:pPr>
        <w:widowControl/>
        <w:spacing w:line="600" w:lineRule="exact"/>
        <w:ind w:firstLine="1280" w:firstLineChars="40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三、财政拨款支出决算情况说明</w:t>
      </w:r>
    </w:p>
    <w:p>
      <w:pPr>
        <w:widowControl/>
        <w:spacing w:line="600" w:lineRule="exact"/>
        <w:ind w:firstLine="1280" w:firstLineChars="40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四、一般公共预算财政拨款基本支出决算情况说明</w:t>
      </w:r>
    </w:p>
    <w:p>
      <w:pPr>
        <w:widowControl/>
        <w:spacing w:line="600" w:lineRule="exact"/>
        <w:ind w:firstLine="1280" w:firstLineChars="40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五、一般公共预算财政拨款“三公”经费支出决算情况说明</w:t>
      </w:r>
    </w:p>
    <w:p>
      <w:pPr>
        <w:widowControl/>
        <w:spacing w:line="600" w:lineRule="exact"/>
        <w:ind w:firstLine="1280" w:firstLineChars="40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六、机关运行经费支出情况说明</w:t>
      </w:r>
    </w:p>
    <w:p>
      <w:pPr>
        <w:widowControl/>
        <w:spacing w:line="600" w:lineRule="exact"/>
        <w:ind w:firstLine="64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 xml:space="preserve">    七、政府采购支出情况说明</w:t>
      </w:r>
    </w:p>
    <w:p>
      <w:pPr>
        <w:widowControl/>
        <w:spacing w:line="600" w:lineRule="exact"/>
        <w:ind w:firstLine="64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 xml:space="preserve">    八、国有资产占用情况说明</w:t>
      </w:r>
    </w:p>
    <w:p>
      <w:pPr>
        <w:widowControl/>
        <w:spacing w:line="600" w:lineRule="exact"/>
        <w:ind w:firstLine="64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 xml:space="preserve">    九、预算绩效情况说明</w:t>
      </w:r>
    </w:p>
    <w:p>
      <w:pPr>
        <w:widowControl/>
        <w:spacing w:line="600" w:lineRule="exact"/>
        <w:ind w:firstLine="640"/>
        <w:jc w:val="left"/>
        <w:rPr>
          <w:rFonts w:hint="eastAsia" w:ascii="仿宋" w:hAnsi="仿宋" w:eastAsia="仿宋"/>
          <w:sz w:val="32"/>
          <w:szCs w:val="30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</w:p>
    <w:p>
      <w:pPr>
        <w:ind w:firstLine="630"/>
        <w:jc w:val="center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widowControl/>
        <w:spacing w:line="580" w:lineRule="exact"/>
        <w:jc w:val="center"/>
        <w:rPr>
          <w:rFonts w:hint="eastAsia" w:ascii="宋体" w:hAnsi="宋体"/>
          <w:b/>
          <w:sz w:val="32"/>
          <w:szCs w:val="30"/>
        </w:rPr>
      </w:pPr>
      <w:r>
        <w:rPr>
          <w:rFonts w:hint="eastAsia" w:ascii="宋体" w:hAnsi="宋体"/>
          <w:b/>
          <w:sz w:val="32"/>
          <w:szCs w:val="30"/>
        </w:rPr>
        <w:t xml:space="preserve">第一部分  </w:t>
      </w:r>
      <w:r>
        <w:rPr>
          <w:rFonts w:hint="eastAsia" w:ascii="宋体" w:hAnsi="宋体"/>
          <w:b/>
          <w:sz w:val="32"/>
          <w:szCs w:val="30"/>
          <w:lang w:val="en-US" w:eastAsia="zh-CN"/>
        </w:rPr>
        <w:t>景德镇军供站</w:t>
      </w:r>
      <w:r>
        <w:rPr>
          <w:rFonts w:hint="eastAsia" w:ascii="宋体" w:hAnsi="宋体"/>
          <w:b/>
          <w:sz w:val="32"/>
          <w:szCs w:val="30"/>
        </w:rPr>
        <w:t>概况</w:t>
      </w:r>
    </w:p>
    <w:p>
      <w:pPr>
        <w:spacing w:line="600" w:lineRule="exact"/>
        <w:jc w:val="center"/>
        <w:rPr>
          <w:rFonts w:hint="eastAsia" w:ascii="宋体" w:hAnsi="宋体"/>
          <w:b/>
          <w:sz w:val="32"/>
          <w:szCs w:val="30"/>
        </w:rPr>
      </w:pPr>
    </w:p>
    <w:p>
      <w:pPr>
        <w:ind w:firstLine="630"/>
        <w:jc w:val="center"/>
        <w:rPr>
          <w:rFonts w:hint="eastAsia" w:ascii="Calibri" w:hAnsi="Calibri"/>
          <w:sz w:val="32"/>
          <w:szCs w:val="32"/>
        </w:rPr>
      </w:pPr>
    </w:p>
    <w:p>
      <w:pPr>
        <w:ind w:firstLine="63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一、部门主要职能</w:t>
      </w:r>
    </w:p>
    <w:p>
      <w:pPr>
        <w:ind w:firstLine="640" w:firstLineChars="200"/>
        <w:rPr>
          <w:rFonts w:hint="eastAsia" w:ascii="仿宋_GB2312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军供站</w:t>
      </w:r>
      <w:r>
        <w:rPr>
          <w:rFonts w:hint="eastAsia" w:ascii="仿宋_GB2312" w:hAnsi="宋体" w:eastAsia="仿宋_GB2312" w:cs="仿宋_GB2312"/>
          <w:sz w:val="32"/>
          <w:szCs w:val="32"/>
        </w:rPr>
        <w:t>是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退役军人事务局的下属单位</w:t>
      </w:r>
      <w:r>
        <w:rPr>
          <w:rFonts w:hint="eastAsia" w:ascii="仿宋_GB2312" w:hAnsi="宋体" w:eastAsia="仿宋_GB2312" w:cs="仿宋_GB2312"/>
          <w:sz w:val="32"/>
          <w:szCs w:val="32"/>
        </w:rPr>
        <w:t>，主要职责是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负责过往部队、新老兵的饮食、饮水和住宿。</w:t>
      </w:r>
    </w:p>
    <w:p>
      <w:pPr>
        <w:ind w:firstLine="630"/>
        <w:jc w:val="left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二、部门基本情况</w:t>
      </w:r>
    </w:p>
    <w:p>
      <w:pPr>
        <w:ind w:firstLine="630"/>
        <w:jc w:val="left"/>
        <w:rPr>
          <w:rFonts w:hint="eastAsia" w:ascii="仿宋" w:hAnsi="仿宋" w:eastAsia="仿宋" w:cs="Times New Roman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纳入本套部门决算汇编范围的单位共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color w:val="auto"/>
          <w:sz w:val="30"/>
          <w:szCs w:val="30"/>
        </w:rPr>
        <w:t>个，包括：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景德镇军供站本级。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lang w:val="en-US" w:eastAsia="zh-CN" w:bidi="ar-SA"/>
        </w:rPr>
        <w:t>人员编制数为20人，其中事业编制20人。实有人数19人，在职18人。</w:t>
      </w:r>
    </w:p>
    <w:p>
      <w:pPr>
        <w:widowControl/>
        <w:spacing w:line="600" w:lineRule="exact"/>
        <w:jc w:val="both"/>
        <w:rPr>
          <w:rFonts w:hint="eastAsia" w:ascii="宋体" w:hAnsi="宋体"/>
          <w:b/>
          <w:sz w:val="32"/>
          <w:szCs w:val="32"/>
        </w:rPr>
      </w:pPr>
    </w:p>
    <w:p>
      <w:pPr>
        <w:widowControl/>
        <w:spacing w:line="600" w:lineRule="exact"/>
        <w:ind w:firstLine="640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第二部分  2020年度部门决算表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Calibri" w:hAnsi="Calibri" w:eastAsia="宋体"/>
          <w:szCs w:val="30"/>
          <w:lang w:eastAsia="zh-CN"/>
        </w:rPr>
      </w:pPr>
      <w:r>
        <w:rPr>
          <w:rFonts w:hint="eastAsia" w:ascii="Calibri" w:hAnsi="Calibri" w:eastAsia="宋体"/>
          <w:szCs w:val="30"/>
          <w:lang w:eastAsia="zh-CN"/>
        </w:rPr>
        <w:drawing>
          <wp:inline distT="0" distB="0" distL="114300" distR="114300">
            <wp:extent cx="5273675" cy="4507230"/>
            <wp:effectExtent l="0" t="0" r="3175" b="7620"/>
            <wp:docPr id="1" name="图片 1" descr="163385607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33856076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50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eastAsia"/>
          <w:lang w:eastAsia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szCs w:val="30"/>
          <w:lang w:eastAsia="zh-CN"/>
        </w:rPr>
      </w:pPr>
      <w:r>
        <w:rPr>
          <w:rFonts w:hint="eastAsia" w:eastAsia="宋体"/>
          <w:szCs w:val="30"/>
          <w:lang w:eastAsia="zh-CN"/>
        </w:rPr>
        <w:drawing>
          <wp:inline distT="0" distB="0" distL="114300" distR="114300">
            <wp:extent cx="5264150" cy="2338705"/>
            <wp:effectExtent l="0" t="0" r="12700" b="4445"/>
            <wp:docPr id="2" name="图片 2" descr="163385609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33856093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33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_GB2312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_GB2312"/>
          <w:kern w:val="0"/>
          <w:sz w:val="30"/>
          <w:szCs w:val="30"/>
        </w:rPr>
      </w:pPr>
      <w:r>
        <w:rPr>
          <w:rFonts w:hint="eastAsia" w:ascii="仿宋" w:hAnsi="仿宋" w:eastAsia="仿宋" w:cs="仿宋_GB2312"/>
          <w:kern w:val="0"/>
          <w:sz w:val="30"/>
          <w:szCs w:val="30"/>
        </w:rPr>
        <w:t xml:space="preserve"> </w:t>
      </w:r>
    </w:p>
    <w:p>
      <w:pPr>
        <w:autoSpaceDE w:val="0"/>
        <w:autoSpaceDN w:val="0"/>
        <w:adjustRightInd w:val="0"/>
        <w:spacing w:line="360" w:lineRule="auto"/>
        <w:jc w:val="left"/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9230" cy="2686050"/>
            <wp:effectExtent l="0" t="0" r="7620" b="0"/>
            <wp:docPr id="3" name="图片 3" descr="163385610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33856107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60" w:lineRule="auto"/>
        <w:jc w:val="left"/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2880" cy="3436620"/>
            <wp:effectExtent l="0" t="0" r="13970" b="11430"/>
            <wp:docPr id="4" name="图片 4" descr="163385611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33856118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43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lang w:eastAsia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szCs w:val="30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szCs w:val="22"/>
          <w:lang w:eastAsia="zh-CN"/>
        </w:rPr>
      </w:pPr>
      <w:r>
        <w:rPr>
          <w:rFonts w:hint="eastAsia" w:eastAsia="宋体"/>
          <w:szCs w:val="22"/>
          <w:lang w:eastAsia="zh-CN"/>
        </w:rPr>
        <w:drawing>
          <wp:inline distT="0" distB="0" distL="114300" distR="114300">
            <wp:extent cx="5267960" cy="3919855"/>
            <wp:effectExtent l="0" t="0" r="8890" b="4445"/>
            <wp:docPr id="5" name="图片 5" descr="163385613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633856133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919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8595" cy="7437755"/>
            <wp:effectExtent l="0" t="0" r="8255" b="10795"/>
            <wp:docPr id="6" name="图片 6" descr="163385614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633856148(1)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37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60" w:lineRule="auto"/>
        <w:jc w:val="left"/>
        <w:rPr>
          <w:szCs w:val="30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szCs w:val="30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szCs w:val="30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szCs w:val="30"/>
          <w:lang w:eastAsia="zh-CN"/>
        </w:rPr>
      </w:pPr>
      <w:r>
        <w:rPr>
          <w:rFonts w:hint="eastAsia" w:eastAsia="宋体"/>
          <w:szCs w:val="30"/>
          <w:lang w:eastAsia="zh-CN"/>
        </w:rPr>
        <w:drawing>
          <wp:inline distT="0" distB="0" distL="114300" distR="114300">
            <wp:extent cx="5273040" cy="4458335"/>
            <wp:effectExtent l="0" t="0" r="3810" b="18415"/>
            <wp:docPr id="7" name="图片 7" descr="163385618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633856184(1)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45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szCs w:val="30"/>
          <w:lang w:eastAsia="zh-CN"/>
        </w:rPr>
      </w:pPr>
      <w:r>
        <w:rPr>
          <w:rFonts w:hint="eastAsia" w:eastAsia="宋体"/>
          <w:szCs w:val="30"/>
          <w:lang w:eastAsia="zh-CN"/>
        </w:rPr>
        <w:drawing>
          <wp:inline distT="0" distB="0" distL="114300" distR="114300">
            <wp:extent cx="5271135" cy="1848485"/>
            <wp:effectExtent l="0" t="0" r="5715" b="18415"/>
            <wp:docPr id="8" name="图片 8" descr="163385620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633856207(1)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84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/>
          <w:lang w:eastAsia="zh-CN"/>
        </w:rPr>
      </w:pPr>
      <w:r>
        <w:rPr>
          <w:rFonts w:hint="eastAsia"/>
          <w:szCs w:val="30"/>
          <w:lang w:eastAsia="zh-CN"/>
        </w:rPr>
        <w:t>说明：本</w:t>
      </w:r>
      <w:r>
        <w:rPr>
          <w:rFonts w:hint="eastAsia"/>
          <w:szCs w:val="30"/>
          <w:lang w:val="en-US" w:eastAsia="zh-CN"/>
        </w:rPr>
        <w:t>单位</w:t>
      </w:r>
      <w:r>
        <w:rPr>
          <w:rFonts w:hint="eastAsia"/>
          <w:szCs w:val="30"/>
          <w:lang w:eastAsia="zh-CN"/>
        </w:rPr>
        <w:t>无政府性基金预算财政拨款收入</w:t>
      </w:r>
      <w:r>
        <w:rPr>
          <w:rFonts w:hint="eastAsia"/>
          <w:szCs w:val="30"/>
          <w:lang w:val="en-US" w:eastAsia="zh-CN"/>
        </w:rPr>
        <w:t>支出情况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szCs w:val="30"/>
          <w:lang w:eastAsia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szCs w:val="22"/>
          <w:lang w:eastAsia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7960" cy="1530350"/>
            <wp:effectExtent l="0" t="0" r="8890" b="12700"/>
            <wp:docPr id="9" name="图片 9" descr="163385622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633856221(1)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53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szCs w:val="30"/>
          <w:lang w:eastAsia="zh-CN"/>
        </w:rPr>
      </w:pPr>
      <w:r>
        <w:rPr>
          <w:rFonts w:hint="eastAsia"/>
          <w:szCs w:val="22"/>
          <w:lang w:eastAsia="zh-CN"/>
        </w:rPr>
        <w:t>说明：本</w:t>
      </w:r>
      <w:r>
        <w:rPr>
          <w:rFonts w:hint="eastAsia"/>
          <w:szCs w:val="22"/>
          <w:lang w:val="en-US" w:eastAsia="zh-CN"/>
        </w:rPr>
        <w:t>单位</w:t>
      </w:r>
      <w:r>
        <w:rPr>
          <w:rFonts w:hint="eastAsia"/>
          <w:szCs w:val="22"/>
          <w:lang w:eastAsia="zh-CN"/>
        </w:rPr>
        <w:t>无国有资本经营预算财政拨款支出</w:t>
      </w:r>
      <w:r>
        <w:rPr>
          <w:rFonts w:hint="eastAsia"/>
          <w:szCs w:val="22"/>
          <w:lang w:val="en-US" w:eastAsia="zh-CN"/>
        </w:rPr>
        <w:t>情况</w:t>
      </w:r>
    </w:p>
    <w:p>
      <w:pPr>
        <w:pStyle w:val="2"/>
        <w:rPr>
          <w:rFonts w:hint="eastAsia"/>
          <w:lang w:eastAsia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sz w:val="32"/>
          <w:szCs w:val="32"/>
          <w:lang w:eastAsia="zh-CN"/>
        </w:rPr>
        <w:drawing>
          <wp:inline distT="0" distB="0" distL="114300" distR="114300">
            <wp:extent cx="5269230" cy="2931160"/>
            <wp:effectExtent l="0" t="0" r="7620" b="2540"/>
            <wp:docPr id="10" name="图片 10" descr="163385625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633856251(1)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93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600" w:lineRule="exact"/>
        <w:ind w:firstLine="640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widowControl/>
        <w:spacing w:line="600" w:lineRule="exact"/>
        <w:ind w:firstLine="640"/>
        <w:jc w:val="center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宋体" w:hAnsi="宋体"/>
          <w:b/>
          <w:sz w:val="32"/>
          <w:szCs w:val="32"/>
        </w:rPr>
        <w:t>第三部分  2020年度部门决算情况说明</w:t>
      </w:r>
    </w:p>
    <w:p>
      <w:pPr>
        <w:ind w:firstLine="63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一、收入决算情况说明</w:t>
      </w:r>
    </w:p>
    <w:p>
      <w:pPr>
        <w:ind w:firstLine="63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本部门2020年度收入总计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481.63</w:t>
      </w:r>
      <w:r>
        <w:rPr>
          <w:rFonts w:hint="eastAsia" w:ascii="仿宋_GB2312" w:hAnsi="仿宋" w:eastAsia="仿宋_GB2312"/>
          <w:sz w:val="32"/>
          <w:szCs w:val="32"/>
        </w:rPr>
        <w:t>万元，其中年初结转和结余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148.44</w:t>
      </w:r>
      <w:r>
        <w:rPr>
          <w:rFonts w:hint="eastAsia" w:ascii="仿宋_GB2312" w:hAnsi="仿宋" w:eastAsia="仿宋_GB2312"/>
          <w:sz w:val="32"/>
          <w:szCs w:val="32"/>
        </w:rPr>
        <w:t>万元，较2019年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增加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107.83</w:t>
      </w:r>
      <w:r>
        <w:rPr>
          <w:rFonts w:hint="eastAsia" w:ascii="仿宋_GB2312" w:hAnsi="仿宋" w:eastAsia="仿宋_GB2312"/>
          <w:sz w:val="32"/>
          <w:szCs w:val="32"/>
        </w:rPr>
        <w:t>万元，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增加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72.64</w:t>
      </w:r>
      <w:r>
        <w:rPr>
          <w:rFonts w:hint="eastAsia" w:ascii="仿宋_GB2312" w:hAnsi="仿宋" w:eastAsia="仿宋_GB2312"/>
          <w:sz w:val="32"/>
          <w:szCs w:val="32"/>
        </w:rPr>
        <w:t>%；本年收入合计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333.19</w:t>
      </w:r>
      <w:r>
        <w:rPr>
          <w:rFonts w:hint="eastAsia" w:ascii="仿宋_GB2312" w:hAnsi="仿宋" w:eastAsia="仿宋_GB2312"/>
          <w:sz w:val="32"/>
          <w:szCs w:val="32"/>
        </w:rPr>
        <w:t>万元，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较2019年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增加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4.7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元，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增加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1.41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%，主要原因是：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财政拨款增加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</w:t>
      </w:r>
    </w:p>
    <w:p>
      <w:pPr>
        <w:ind w:firstLine="63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本年收入的具体构成为：财政拨款收入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265.42</w:t>
      </w:r>
      <w:r>
        <w:rPr>
          <w:rFonts w:hint="eastAsia" w:ascii="仿宋_GB2312" w:hAnsi="仿宋" w:eastAsia="仿宋_GB2312"/>
          <w:sz w:val="32"/>
          <w:szCs w:val="32"/>
        </w:rPr>
        <w:t>万元，占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79.67</w:t>
      </w:r>
      <w:r>
        <w:rPr>
          <w:rFonts w:hint="eastAsia" w:ascii="仿宋_GB2312" w:hAnsi="仿宋" w:eastAsia="仿宋_GB2312"/>
          <w:sz w:val="32"/>
          <w:szCs w:val="32"/>
        </w:rPr>
        <w:t>%；事业收入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%；经营收入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%；其他收入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67.77</w:t>
      </w:r>
      <w:r>
        <w:rPr>
          <w:rFonts w:hint="eastAsia" w:ascii="仿宋_GB2312" w:hAnsi="仿宋" w:eastAsia="仿宋_GB2312"/>
          <w:sz w:val="32"/>
          <w:szCs w:val="32"/>
        </w:rPr>
        <w:t>万元，占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20.33</w:t>
      </w:r>
      <w:r>
        <w:rPr>
          <w:rFonts w:hint="eastAsia" w:ascii="仿宋_GB2312" w:hAnsi="仿宋" w:eastAsia="仿宋_GB2312"/>
          <w:sz w:val="32"/>
          <w:szCs w:val="32"/>
        </w:rPr>
        <w:t xml:space="preserve">%。  </w:t>
      </w:r>
    </w:p>
    <w:p>
      <w:pPr>
        <w:ind w:firstLine="63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二、支出决算情况说明</w:t>
      </w:r>
    </w:p>
    <w:p>
      <w:pPr>
        <w:ind w:firstLine="63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本部门2020年度支出总计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481.63</w:t>
      </w:r>
      <w:r>
        <w:rPr>
          <w:rFonts w:hint="eastAsia" w:ascii="仿宋_GB2312" w:hAnsi="仿宋" w:eastAsia="仿宋_GB2312"/>
          <w:sz w:val="32"/>
          <w:szCs w:val="32"/>
        </w:rPr>
        <w:t>万元，其中本年支出合计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465.62</w:t>
      </w:r>
      <w:r>
        <w:rPr>
          <w:rFonts w:hint="eastAsia" w:ascii="仿宋_GB2312" w:hAnsi="仿宋" w:eastAsia="仿宋_GB2312"/>
          <w:sz w:val="32"/>
          <w:szCs w:val="32"/>
        </w:rPr>
        <w:t>万元，较2019年增加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244.97</w:t>
      </w:r>
      <w:r>
        <w:rPr>
          <w:rFonts w:hint="eastAsia" w:ascii="仿宋_GB2312" w:hAnsi="仿宋" w:eastAsia="仿宋_GB2312"/>
          <w:sz w:val="32"/>
          <w:szCs w:val="32"/>
        </w:rPr>
        <w:t>万元，增长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52.61</w:t>
      </w:r>
      <w:r>
        <w:rPr>
          <w:rFonts w:hint="eastAsia" w:ascii="仿宋_GB2312" w:hAnsi="仿宋" w:eastAsia="仿宋_GB2312"/>
          <w:sz w:val="32"/>
          <w:szCs w:val="32"/>
        </w:rPr>
        <w:t>%，主要原因是：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支付之前年度未完成项目资金，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发放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2020年政府绩效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奖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，故支出有所增加；</w:t>
      </w:r>
      <w:r>
        <w:rPr>
          <w:rFonts w:hint="eastAsia" w:ascii="仿宋_GB2312" w:hAnsi="仿宋" w:eastAsia="仿宋_GB2312"/>
          <w:sz w:val="32"/>
          <w:szCs w:val="32"/>
        </w:rPr>
        <w:t>年末结转和结余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16.02</w:t>
      </w:r>
      <w:r>
        <w:rPr>
          <w:rFonts w:hint="eastAsia" w:ascii="仿宋_GB2312" w:hAnsi="仿宋" w:eastAsia="仿宋_GB2312"/>
          <w:sz w:val="32"/>
          <w:szCs w:val="32"/>
        </w:rPr>
        <w:t>万元，较2019年减少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132.42</w:t>
      </w:r>
      <w:r>
        <w:rPr>
          <w:rFonts w:hint="eastAsia" w:ascii="仿宋_GB2312" w:hAnsi="仿宋" w:eastAsia="仿宋_GB2312"/>
          <w:sz w:val="32"/>
          <w:szCs w:val="32"/>
        </w:rPr>
        <w:t>万元，下降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89.2</w:t>
      </w:r>
      <w:r>
        <w:rPr>
          <w:rFonts w:hint="eastAsia" w:ascii="仿宋_GB2312" w:hAnsi="仿宋" w:eastAsia="仿宋_GB2312"/>
          <w:sz w:val="32"/>
          <w:szCs w:val="32"/>
        </w:rPr>
        <w:t>%，主要原因是：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年末结转和结余减少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ind w:firstLine="63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本年支出的具体构成为：基本支出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442.19</w:t>
      </w:r>
      <w:r>
        <w:rPr>
          <w:rFonts w:hint="eastAsia" w:ascii="仿宋_GB2312" w:hAnsi="仿宋" w:eastAsia="仿宋_GB2312"/>
          <w:sz w:val="32"/>
          <w:szCs w:val="32"/>
        </w:rPr>
        <w:t>万元，占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94.96</w:t>
      </w:r>
      <w:r>
        <w:rPr>
          <w:rFonts w:hint="eastAsia" w:ascii="仿宋_GB2312" w:hAnsi="仿宋" w:eastAsia="仿宋_GB2312"/>
          <w:sz w:val="32"/>
          <w:szCs w:val="32"/>
        </w:rPr>
        <w:t>%；项目支出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23.42</w:t>
      </w:r>
      <w:r>
        <w:rPr>
          <w:rFonts w:hint="eastAsia" w:ascii="仿宋_GB2312" w:hAnsi="仿宋" w:eastAsia="仿宋_GB2312"/>
          <w:sz w:val="32"/>
          <w:szCs w:val="32"/>
        </w:rPr>
        <w:t>万元，占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5.04</w:t>
      </w:r>
      <w:r>
        <w:rPr>
          <w:rFonts w:hint="eastAsia" w:ascii="仿宋_GB2312" w:hAnsi="仿宋" w:eastAsia="仿宋_GB2312"/>
          <w:sz w:val="32"/>
          <w:szCs w:val="32"/>
        </w:rPr>
        <w:t>%；经营支出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%；其他支出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%。</w:t>
      </w:r>
    </w:p>
    <w:p>
      <w:pPr>
        <w:ind w:firstLine="63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三、财政拨款支出决算情况说明</w:t>
      </w:r>
    </w:p>
    <w:p>
      <w:pPr>
        <w:ind w:firstLine="63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本部门2020年度财政拨款本年支出年初预算数为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205.06</w:t>
      </w:r>
      <w:r>
        <w:rPr>
          <w:rFonts w:hint="eastAsia" w:ascii="仿宋_GB2312" w:hAnsi="仿宋" w:eastAsia="仿宋_GB2312"/>
          <w:sz w:val="32"/>
          <w:szCs w:val="32"/>
        </w:rPr>
        <w:t>万元，决算数为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465.62</w:t>
      </w:r>
      <w:r>
        <w:rPr>
          <w:rFonts w:hint="eastAsia" w:ascii="仿宋_GB2312" w:hAnsi="仿宋" w:eastAsia="仿宋_GB2312"/>
          <w:sz w:val="32"/>
          <w:szCs w:val="32"/>
        </w:rPr>
        <w:t>万元，完成年初预算的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227.06</w:t>
      </w:r>
      <w:r>
        <w:rPr>
          <w:rFonts w:hint="eastAsia" w:ascii="仿宋_GB2312" w:hAnsi="仿宋" w:eastAsia="仿宋_GB2312"/>
          <w:sz w:val="32"/>
          <w:szCs w:val="32"/>
        </w:rPr>
        <w:t>%。其中：</w:t>
      </w:r>
    </w:p>
    <w:p>
      <w:pPr>
        <w:ind w:firstLine="63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社会保障和就业支出</w:t>
      </w:r>
      <w:r>
        <w:rPr>
          <w:rFonts w:hint="eastAsia" w:ascii="仿宋_GB2312" w:hAnsi="仿宋" w:eastAsia="仿宋_GB2312"/>
          <w:sz w:val="32"/>
          <w:szCs w:val="32"/>
        </w:rPr>
        <w:t>年初预算数为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172.41</w:t>
      </w:r>
      <w:r>
        <w:rPr>
          <w:rFonts w:hint="eastAsia" w:ascii="仿宋_GB2312" w:hAnsi="仿宋" w:eastAsia="仿宋_GB2312"/>
          <w:sz w:val="32"/>
          <w:szCs w:val="32"/>
        </w:rPr>
        <w:t>万元，决算数为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432.97</w:t>
      </w:r>
      <w:r>
        <w:rPr>
          <w:rFonts w:hint="eastAsia" w:ascii="仿宋_GB2312" w:hAnsi="仿宋" w:eastAsia="仿宋_GB2312"/>
          <w:sz w:val="32"/>
          <w:szCs w:val="32"/>
        </w:rPr>
        <w:t>万元，完成年初预算的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251.12</w:t>
      </w:r>
      <w:r>
        <w:rPr>
          <w:rFonts w:hint="eastAsia" w:ascii="仿宋_GB2312" w:hAnsi="仿宋" w:eastAsia="仿宋_GB2312"/>
          <w:sz w:val="32"/>
          <w:szCs w:val="32"/>
        </w:rPr>
        <w:t>%，主要原因是：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支付之前年度未完成项目资金，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发放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2020年政府绩效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奖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ind w:firstLine="63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二</w:t>
      </w:r>
      <w:r>
        <w:rPr>
          <w:rFonts w:hint="eastAsia" w:ascii="仿宋_GB2312" w:hAnsi="仿宋" w:eastAsia="仿宋_GB2312"/>
          <w:sz w:val="32"/>
          <w:szCs w:val="32"/>
        </w:rPr>
        <w:t>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卫生健康支出</w:t>
      </w:r>
      <w:r>
        <w:rPr>
          <w:rFonts w:hint="eastAsia" w:ascii="仿宋_GB2312" w:hAnsi="仿宋" w:eastAsia="仿宋_GB2312"/>
          <w:sz w:val="32"/>
          <w:szCs w:val="32"/>
        </w:rPr>
        <w:t>年初预算数为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19.44</w:t>
      </w:r>
      <w:r>
        <w:rPr>
          <w:rFonts w:hint="eastAsia" w:ascii="仿宋_GB2312" w:hAnsi="仿宋" w:eastAsia="仿宋_GB2312"/>
          <w:sz w:val="32"/>
          <w:szCs w:val="32"/>
        </w:rPr>
        <w:t>万元，决算数为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19.44</w:t>
      </w:r>
      <w:r>
        <w:rPr>
          <w:rFonts w:hint="eastAsia" w:ascii="仿宋_GB2312" w:hAnsi="仿宋" w:eastAsia="仿宋_GB2312"/>
          <w:sz w:val="32"/>
          <w:szCs w:val="32"/>
        </w:rPr>
        <w:t>万元，完成年初预算的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" w:eastAsia="仿宋_GB2312"/>
          <w:sz w:val="32"/>
          <w:szCs w:val="32"/>
        </w:rPr>
        <w:t>%，主要原因是：</w:t>
      </w:r>
      <w:r>
        <w:rPr>
          <w:rFonts w:hint="eastAsia" w:ascii="仿宋" w:hAnsi="仿宋" w:eastAsia="仿宋"/>
          <w:sz w:val="30"/>
          <w:szCs w:val="30"/>
          <w:lang w:eastAsia="zh-CN"/>
        </w:rPr>
        <w:t>按预算支出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ind w:firstLine="630"/>
        <w:jc w:val="left"/>
        <w:rPr>
          <w:rFonts w:hint="eastAsia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三</w:t>
      </w:r>
      <w:r>
        <w:rPr>
          <w:rFonts w:hint="eastAsia" w:ascii="仿宋_GB2312" w:hAnsi="仿宋" w:eastAsia="仿宋_GB2312"/>
          <w:sz w:val="32"/>
          <w:szCs w:val="32"/>
        </w:rPr>
        <w:t>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住房保障支出</w:t>
      </w:r>
      <w:r>
        <w:rPr>
          <w:rFonts w:hint="eastAsia" w:ascii="仿宋_GB2312" w:hAnsi="仿宋" w:eastAsia="仿宋_GB2312"/>
          <w:sz w:val="32"/>
          <w:szCs w:val="32"/>
        </w:rPr>
        <w:t>年初预算数为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13.21</w:t>
      </w:r>
      <w:r>
        <w:rPr>
          <w:rFonts w:hint="eastAsia" w:ascii="仿宋_GB2312" w:hAnsi="仿宋" w:eastAsia="仿宋_GB2312"/>
          <w:sz w:val="32"/>
          <w:szCs w:val="32"/>
        </w:rPr>
        <w:t>万元，决算数为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13.21</w:t>
      </w:r>
      <w:r>
        <w:rPr>
          <w:rFonts w:hint="eastAsia" w:ascii="仿宋_GB2312" w:hAnsi="仿宋" w:eastAsia="仿宋_GB2312"/>
          <w:sz w:val="32"/>
          <w:szCs w:val="32"/>
        </w:rPr>
        <w:t>万元，完成年初预算的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" w:eastAsia="仿宋_GB2312"/>
          <w:sz w:val="32"/>
          <w:szCs w:val="32"/>
        </w:rPr>
        <w:t>%，主要原因是：</w:t>
      </w:r>
      <w:r>
        <w:rPr>
          <w:rFonts w:hint="eastAsia" w:ascii="仿宋" w:hAnsi="仿宋" w:eastAsia="仿宋"/>
          <w:sz w:val="30"/>
          <w:szCs w:val="30"/>
          <w:lang w:eastAsia="zh-CN"/>
        </w:rPr>
        <w:t>按预算支出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ind w:firstLine="63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四、一般公共预算财政拨款基本支出决算情况说明</w:t>
      </w:r>
    </w:p>
    <w:p>
      <w:pPr>
        <w:ind w:firstLine="585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本部门2020年度一般公共预算财政拨款基本支出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390.44</w:t>
      </w:r>
      <w:r>
        <w:rPr>
          <w:rFonts w:hint="eastAsia" w:ascii="仿宋_GB2312" w:hAnsi="仿宋" w:eastAsia="仿宋_GB2312"/>
          <w:sz w:val="32"/>
          <w:szCs w:val="32"/>
        </w:rPr>
        <w:t>万元，其中：</w:t>
      </w:r>
    </w:p>
    <w:p>
      <w:pPr>
        <w:ind w:firstLine="585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（一）工资福利支出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236.26</w:t>
      </w:r>
      <w:r>
        <w:rPr>
          <w:rFonts w:hint="eastAsia" w:ascii="仿宋_GB2312" w:hAnsi="仿宋" w:eastAsia="仿宋_GB2312"/>
          <w:sz w:val="32"/>
          <w:szCs w:val="32"/>
        </w:rPr>
        <w:t>万元，较2019年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增加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129.61</w:t>
      </w:r>
      <w:r>
        <w:rPr>
          <w:rFonts w:hint="eastAsia" w:ascii="仿宋_GB2312" w:hAnsi="仿宋" w:eastAsia="仿宋_GB2312"/>
          <w:sz w:val="32"/>
          <w:szCs w:val="32"/>
        </w:rPr>
        <w:t>万元，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增加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54.85</w:t>
      </w:r>
      <w:r>
        <w:rPr>
          <w:rFonts w:hint="eastAsia" w:ascii="仿宋_GB2312" w:hAnsi="仿宋" w:eastAsia="仿宋_GB2312"/>
          <w:sz w:val="32"/>
          <w:szCs w:val="32"/>
        </w:rPr>
        <w:t>%，主要原因是：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人员晋级调资，发放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2020年绩效奖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ind w:firstLine="585"/>
        <w:jc w:val="left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（二）商品和服务支出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138.47</w:t>
      </w:r>
      <w:r>
        <w:rPr>
          <w:rFonts w:hint="eastAsia" w:ascii="仿宋_GB2312" w:hAnsi="仿宋" w:eastAsia="仿宋_GB2312"/>
          <w:sz w:val="32"/>
          <w:szCs w:val="32"/>
        </w:rPr>
        <w:t>万元，较2019年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增加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117.46</w:t>
      </w:r>
      <w:r>
        <w:rPr>
          <w:rFonts w:hint="eastAsia" w:ascii="仿宋_GB2312" w:hAnsi="仿宋" w:eastAsia="仿宋_GB2312"/>
          <w:sz w:val="32"/>
          <w:szCs w:val="32"/>
        </w:rPr>
        <w:t>万元，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增加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84.82</w:t>
      </w:r>
      <w:r>
        <w:rPr>
          <w:rFonts w:hint="eastAsia" w:ascii="仿宋_GB2312" w:hAnsi="仿宋" w:eastAsia="仿宋_GB2312"/>
          <w:sz w:val="32"/>
          <w:szCs w:val="32"/>
        </w:rPr>
        <w:t>%，主要原因是：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支付之前年度未完成验收维修工程资金</w:t>
      </w:r>
      <w:r>
        <w:rPr>
          <w:rFonts w:hint="eastAsia" w:ascii="仿宋_GB2312" w:hAnsi="仿宋" w:eastAsia="仿宋_GB2312" w:cs="Times New Roman"/>
          <w:sz w:val="32"/>
          <w:szCs w:val="32"/>
        </w:rPr>
        <w:t>。</w:t>
      </w:r>
    </w:p>
    <w:p>
      <w:pPr>
        <w:ind w:firstLine="585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（三）对个人和家庭补助支出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6.04</w:t>
      </w:r>
      <w:r>
        <w:rPr>
          <w:rFonts w:hint="eastAsia" w:ascii="仿宋_GB2312" w:hAnsi="仿宋" w:eastAsia="仿宋_GB2312"/>
          <w:sz w:val="32"/>
          <w:szCs w:val="32"/>
        </w:rPr>
        <w:t>万元，较2019年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增加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6.04</w:t>
      </w:r>
      <w:r>
        <w:rPr>
          <w:rFonts w:hint="eastAsia" w:ascii="仿宋_GB2312" w:hAnsi="仿宋" w:eastAsia="仿宋_GB2312"/>
          <w:sz w:val="32"/>
          <w:szCs w:val="32"/>
        </w:rPr>
        <w:t>万元，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增加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" w:eastAsia="仿宋_GB2312"/>
          <w:sz w:val="32"/>
          <w:szCs w:val="32"/>
        </w:rPr>
        <w:t>%，主要原因是：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对个人和家庭补助支出增加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ind w:firstLine="585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（四）资本性支出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9.67</w:t>
      </w:r>
      <w:r>
        <w:rPr>
          <w:rFonts w:hint="eastAsia" w:ascii="仿宋_GB2312" w:hAnsi="仿宋" w:eastAsia="仿宋_GB2312"/>
          <w:sz w:val="32"/>
          <w:szCs w:val="32"/>
        </w:rPr>
        <w:t>万元，较2019年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增加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9.67</w:t>
      </w:r>
      <w:r>
        <w:rPr>
          <w:rFonts w:hint="eastAsia" w:ascii="仿宋_GB2312" w:hAnsi="仿宋" w:eastAsia="仿宋_GB2312"/>
          <w:sz w:val="32"/>
          <w:szCs w:val="32"/>
        </w:rPr>
        <w:t>万元，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增加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" w:eastAsia="仿宋_GB2312"/>
          <w:sz w:val="32"/>
          <w:szCs w:val="32"/>
        </w:rPr>
        <w:t>%，主要原因是：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新购办公设备及家具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ind w:firstLine="63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五、一般公共预算财政拨款“三公”经费支出决算情况说明</w:t>
      </w:r>
    </w:p>
    <w:p>
      <w:pPr>
        <w:ind w:firstLine="63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本部门2020年度一般公共预算财政拨款“三公”经费支出年初预算数为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2.59</w:t>
      </w:r>
      <w:r>
        <w:rPr>
          <w:rFonts w:hint="eastAsia" w:ascii="仿宋_GB2312" w:hAnsi="仿宋" w:eastAsia="仿宋_GB2312"/>
          <w:sz w:val="32"/>
          <w:szCs w:val="32"/>
        </w:rPr>
        <w:t>万元，决算数为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1.25</w:t>
      </w:r>
      <w:r>
        <w:rPr>
          <w:rFonts w:hint="eastAsia" w:ascii="仿宋_GB2312" w:hAnsi="仿宋" w:eastAsia="仿宋_GB2312"/>
          <w:sz w:val="32"/>
          <w:szCs w:val="32"/>
        </w:rPr>
        <w:t>万元，完成预算的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48.26</w:t>
      </w:r>
      <w:r>
        <w:rPr>
          <w:rFonts w:hint="eastAsia" w:ascii="仿宋_GB2312" w:hAnsi="仿宋" w:eastAsia="仿宋_GB2312"/>
          <w:sz w:val="32"/>
          <w:szCs w:val="32"/>
        </w:rPr>
        <w:t>%，决算数较2019年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减少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0.39</w:t>
      </w:r>
      <w:r>
        <w:rPr>
          <w:rFonts w:hint="eastAsia" w:ascii="仿宋_GB2312" w:hAnsi="仿宋" w:eastAsia="仿宋_GB2312"/>
          <w:sz w:val="32"/>
          <w:szCs w:val="32"/>
        </w:rPr>
        <w:t>万元，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减少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23.78</w:t>
      </w:r>
      <w:r>
        <w:rPr>
          <w:rFonts w:hint="eastAsia" w:ascii="仿宋_GB2312" w:hAnsi="仿宋" w:eastAsia="仿宋_GB2312"/>
          <w:sz w:val="32"/>
          <w:szCs w:val="32"/>
        </w:rPr>
        <w:t>%，其中：</w:t>
      </w:r>
    </w:p>
    <w:p>
      <w:pPr>
        <w:ind w:firstLine="63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（一）因公出国（境）支出年初预算数为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万元，决算数为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万元，完成预算的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%，决算数较2019年增加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 xml:space="preserve"> 万元，增长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 xml:space="preserve"> %，主要原因是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无出国支出</w:t>
      </w:r>
      <w:r>
        <w:rPr>
          <w:rFonts w:hint="eastAsia" w:ascii="仿宋_GB2312" w:hAnsi="仿宋" w:eastAsia="仿宋_GB2312"/>
          <w:sz w:val="32"/>
          <w:szCs w:val="32"/>
        </w:rPr>
        <w:t>。决算数较年初预算数增加的主要原因是：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无出国支出</w:t>
      </w:r>
      <w:r>
        <w:rPr>
          <w:rFonts w:hint="eastAsia" w:ascii="仿宋_GB2312" w:hAnsi="仿宋" w:eastAsia="仿宋_GB2312"/>
          <w:sz w:val="32"/>
          <w:szCs w:val="32"/>
        </w:rPr>
        <w:t>。全年安排因公出国（境）团组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个，累计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人次，主要为：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无出国支出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ind w:firstLine="630"/>
        <w:jc w:val="left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（二）公务接待费支出年初预算数为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万元，决算数为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万元，完成预算的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%，决算数较2019年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增加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万元，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增加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%，主要原因是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无接待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。决算数较年初预算数增加的主要原因是：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无接待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。全年国内公务接待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批，累计接待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人次，其中外事接待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批，累计接待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人次。</w:t>
      </w:r>
    </w:p>
    <w:p>
      <w:pPr>
        <w:ind w:firstLine="63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（三）公务用车购置及运行维护费支出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1.25</w:t>
      </w:r>
      <w:r>
        <w:rPr>
          <w:rFonts w:hint="eastAsia" w:ascii="仿宋_GB2312" w:hAnsi="仿宋" w:eastAsia="仿宋_GB2312"/>
          <w:sz w:val="32"/>
          <w:szCs w:val="32"/>
        </w:rPr>
        <w:t>万元，其中公务用车购置年初预算数为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万元，决算数为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万元，完成预算的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%，决算数较2019年增加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万元，增长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%，主要原因是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无新购置公车支出</w:t>
      </w:r>
      <w:r>
        <w:rPr>
          <w:rFonts w:hint="eastAsia" w:ascii="仿宋_GB2312" w:hAnsi="仿宋" w:eastAsia="仿宋_GB2312"/>
          <w:sz w:val="32"/>
          <w:szCs w:val="32"/>
        </w:rPr>
        <w:t>，全年购置公务用车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辆。决算数较年初预算数增加的主要原因是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无新购置公车支出</w:t>
      </w:r>
      <w:r>
        <w:rPr>
          <w:rFonts w:hint="eastAsia" w:ascii="仿宋_GB2312" w:hAnsi="仿宋" w:eastAsia="仿宋_GB2312"/>
          <w:sz w:val="32"/>
          <w:szCs w:val="32"/>
        </w:rPr>
        <w:t>；公务用车运行维护费支出年初预算数为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2.59</w:t>
      </w:r>
      <w:r>
        <w:rPr>
          <w:rFonts w:hint="eastAsia" w:ascii="仿宋_GB2312" w:hAnsi="仿宋" w:eastAsia="仿宋_GB2312"/>
          <w:sz w:val="32"/>
          <w:szCs w:val="32"/>
        </w:rPr>
        <w:t>万元，决算数为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1.25</w:t>
      </w:r>
      <w:r>
        <w:rPr>
          <w:rFonts w:hint="eastAsia" w:ascii="仿宋_GB2312" w:hAnsi="仿宋" w:eastAsia="仿宋_GB2312"/>
          <w:sz w:val="32"/>
          <w:szCs w:val="32"/>
        </w:rPr>
        <w:t>万元，完成预算的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48.26</w:t>
      </w:r>
      <w:r>
        <w:rPr>
          <w:rFonts w:hint="eastAsia" w:ascii="仿宋_GB2312" w:hAnsi="仿宋" w:eastAsia="仿宋_GB2312"/>
          <w:sz w:val="32"/>
          <w:szCs w:val="32"/>
        </w:rPr>
        <w:t>%，决算数较2019年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减少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0.39</w:t>
      </w:r>
      <w:r>
        <w:rPr>
          <w:rFonts w:hint="eastAsia" w:ascii="仿宋_GB2312" w:hAnsi="仿宋" w:eastAsia="仿宋_GB2312"/>
          <w:sz w:val="32"/>
          <w:szCs w:val="32"/>
        </w:rPr>
        <w:t>万元，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减少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23.78</w:t>
      </w:r>
      <w:r>
        <w:rPr>
          <w:rFonts w:hint="eastAsia" w:ascii="仿宋_GB2312" w:hAnsi="仿宋" w:eastAsia="仿宋_GB2312"/>
          <w:sz w:val="32"/>
          <w:szCs w:val="32"/>
        </w:rPr>
        <w:t>%，主要原因是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厉行节约，减少公车出行次数</w:t>
      </w:r>
      <w:r>
        <w:rPr>
          <w:rFonts w:hint="eastAsia" w:ascii="仿宋_GB2312" w:hAnsi="仿宋" w:eastAsia="仿宋_GB2312"/>
          <w:sz w:val="32"/>
          <w:szCs w:val="32"/>
        </w:rPr>
        <w:t>，年末公务用车保有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辆。决算数较年初预算数增加的主要原因是：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厉行节约，减少公车出行次数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ind w:firstLine="63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六、机关运行经费支出情况说明</w:t>
      </w:r>
    </w:p>
    <w:p>
      <w:pPr>
        <w:ind w:firstLine="585"/>
        <w:jc w:val="left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本部门2020年度机关运行经费支出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148.14</w:t>
      </w:r>
      <w:r>
        <w:rPr>
          <w:rFonts w:hint="eastAsia" w:ascii="仿宋_GB2312" w:hAnsi="仿宋" w:eastAsia="仿宋_GB2312"/>
          <w:sz w:val="32"/>
          <w:szCs w:val="32"/>
        </w:rPr>
        <w:t>万元，较上年决算数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增加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127.13</w:t>
      </w:r>
      <w:r>
        <w:rPr>
          <w:rFonts w:hint="eastAsia" w:ascii="仿宋_GB2312" w:hAnsi="仿宋" w:eastAsia="仿宋_GB2312"/>
          <w:sz w:val="32"/>
          <w:szCs w:val="32"/>
        </w:rPr>
        <w:t>万元，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增加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85.81</w:t>
      </w:r>
      <w:r>
        <w:rPr>
          <w:rFonts w:hint="eastAsia" w:ascii="仿宋_GB2312" w:hAnsi="仿宋" w:eastAsia="仿宋_GB2312"/>
          <w:sz w:val="32"/>
          <w:szCs w:val="32"/>
        </w:rPr>
        <w:t>%，主要原因是：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支付之前年度未完成验收维修工程资金</w:t>
      </w:r>
      <w:r>
        <w:rPr>
          <w:rFonts w:hint="eastAsia" w:ascii="仿宋_GB2312" w:hAnsi="仿宋" w:eastAsia="仿宋_GB2312" w:cs="Times New Roman"/>
          <w:sz w:val="32"/>
          <w:szCs w:val="32"/>
        </w:rPr>
        <w:t>。</w:t>
      </w:r>
    </w:p>
    <w:p>
      <w:pPr>
        <w:ind w:firstLine="63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七、政府采购支出情况说明</w:t>
      </w:r>
    </w:p>
    <w:p>
      <w:pPr>
        <w:pStyle w:val="7"/>
        <w:spacing w:line="600" w:lineRule="atLeast"/>
        <w:ind w:firstLine="6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本部门2020年度政府采购支出总额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9.67</w:t>
      </w:r>
      <w:r>
        <w:rPr>
          <w:rFonts w:hint="eastAsia" w:ascii="仿宋_GB2312" w:hAnsi="仿宋" w:eastAsia="仿宋_GB2312"/>
          <w:sz w:val="32"/>
          <w:szCs w:val="32"/>
        </w:rPr>
        <w:t>万元，其中：政府采购货物支出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万元、政府采购工程支出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万元、政府采购服务支出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万元。授予中小企业合同金额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万元，占政府采购支出总额的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%，其中：授予小微企业合同金额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9.67</w:t>
      </w:r>
      <w:r>
        <w:rPr>
          <w:rFonts w:hint="eastAsia" w:ascii="仿宋_GB2312" w:hAnsi="仿宋" w:eastAsia="仿宋_GB2312"/>
          <w:sz w:val="32"/>
          <w:szCs w:val="32"/>
        </w:rPr>
        <w:t>万元，占政府采购支出总额的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" w:eastAsia="仿宋_GB2312"/>
          <w:sz w:val="32"/>
          <w:szCs w:val="32"/>
        </w:rPr>
        <w:t>%。</w:t>
      </w:r>
    </w:p>
    <w:p>
      <w:pPr>
        <w:ind w:firstLine="63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八、国有资产占用情况说明</w:t>
      </w:r>
    </w:p>
    <w:p>
      <w:pPr>
        <w:ind w:firstLine="630"/>
        <w:jc w:val="left"/>
        <w:rPr>
          <w:rFonts w:hint="eastAsia" w:ascii="仿宋_GB2312" w:hAnsi="仿宋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截止2020年12月31日，本部门（单位）国有资产占用情况见公开10表《国有资产占用情况表</w:t>
      </w:r>
      <w:r>
        <w:rPr>
          <w:rFonts w:hint="eastAsia" w:ascii="仿宋_GB2312" w:hAnsi="仿宋" w:eastAsia="仿宋_GB2312"/>
          <w:kern w:val="0"/>
          <w:sz w:val="32"/>
          <w:szCs w:val="32"/>
          <w:lang w:eastAsia="zh-CN"/>
        </w:rPr>
        <w:t>》。</w:t>
      </w:r>
      <w:r>
        <w:rPr>
          <w:rFonts w:hint="eastAsia" w:ascii="仿宋" w:hAnsi="仿宋" w:eastAsia="仿宋"/>
          <w:kern w:val="0"/>
          <w:sz w:val="30"/>
          <w:szCs w:val="30"/>
        </w:rPr>
        <w:t>其中车辆中的其他用车主要是</w:t>
      </w:r>
      <w:r>
        <w:rPr>
          <w:rFonts w:hint="eastAsia" w:ascii="仿宋" w:hAnsi="仿宋" w:eastAsia="仿宋"/>
          <w:kern w:val="0"/>
          <w:sz w:val="30"/>
          <w:szCs w:val="30"/>
          <w:lang w:val="en-US" w:eastAsia="zh-CN"/>
        </w:rPr>
        <w:t>本部门共有车辆2辆；单位价值50万元以上通用设备0台（套）；单位价值100万元以上专用设备0台（套）。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eastAsia="zh-CN"/>
        </w:rPr>
        <w:t>本单位无此情况。</w:t>
      </w:r>
    </w:p>
    <w:p>
      <w:pPr>
        <w:ind w:firstLine="63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九、预算绩效情况说明</w:t>
      </w:r>
      <w:bookmarkStart w:id="0" w:name="_Toc13863_WPSOffice_Level1"/>
    </w:p>
    <w:p>
      <w:pPr>
        <w:pStyle w:val="2"/>
        <w:ind w:firstLine="640" w:firstLineChars="20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(一）绩效管理工作开展情况</w:t>
      </w:r>
    </w:p>
    <w:p>
      <w:pPr>
        <w:pStyle w:val="2"/>
        <w:ind w:firstLine="640" w:firstLineChars="20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根据预算绩效管理要求，我站组织对2020年度一般公共预算项目支出中的二级项目共1个开展绩效自评，涉及资金23.42万元，占一般公共项目支出总额的100%。</w:t>
      </w:r>
    </w:p>
    <w:p>
      <w:pPr>
        <w:pStyle w:val="2"/>
        <w:ind w:firstLine="64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组织对“军队供应工作经费”该项目开展了绩效评价，涉及一般公共预算支出20</w:t>
      </w:r>
      <w:bookmarkStart w:id="1" w:name="_GoBack"/>
      <w:bookmarkEnd w:id="1"/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万元，政府性基金预算支出0万元。从评价情况来看，我站项目资金实行项目管理，专款专用，未虚列、挪用、浪费专项资金。建立健全支出内部控制制度和内部稽核、审批、审查制度，把项目资金用到实处，产生实效。</w:t>
      </w:r>
    </w:p>
    <w:p>
      <w:pPr>
        <w:pStyle w:val="2"/>
        <w:numPr>
          <w:ilvl w:val="0"/>
          <w:numId w:val="2"/>
        </w:numPr>
        <w:ind w:firstLine="64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部门决算中项目绩效自评结果</w:t>
      </w:r>
    </w:p>
    <w:p>
      <w:pPr>
        <w:pStyle w:val="2"/>
        <w:numPr>
          <w:ilvl w:val="0"/>
          <w:numId w:val="0"/>
        </w:numPr>
        <w:ind w:firstLine="64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我站今年在市级部门决算中反映“军队供应工作经费”该项目的绩效自评结果。</w:t>
      </w:r>
    </w:p>
    <w:p>
      <w:pPr>
        <w:pStyle w:val="2"/>
        <w:ind w:firstLine="64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项目绩效自评综述：根据年初设定的绩效目标，“军队供应工作经费”项目绩效自评得分为100分，项目全年预算数为20万元；项目绩效目标完成情况：一是产出指标完成100%；二是效益指标完成100%；三是满意度指标100%。从评价情况来看，我站项目资金实行项目管理，专款专用，未虚列、挪用、浪费专项资金。建立健全支出内部控制制度和内部稽核、审批、审查制度，把项目资金用到实处，产生实效。</w:t>
      </w:r>
    </w:p>
    <w:p>
      <w:pPr>
        <w:pStyle w:val="2"/>
        <w:ind w:firstLine="64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详见附表（项目支出绩效自评表）。</w:t>
      </w:r>
    </w:p>
    <w:p>
      <w:pPr>
        <w:pStyle w:val="2"/>
        <w:numPr>
          <w:ilvl w:val="0"/>
          <w:numId w:val="0"/>
        </w:numPr>
        <w:ind w:firstLine="64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drawing>
          <wp:inline distT="0" distB="0" distL="114300" distR="114300">
            <wp:extent cx="5271135" cy="7371080"/>
            <wp:effectExtent l="0" t="0" r="5715" b="1270"/>
            <wp:docPr id="11" name="图片 11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00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37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>
      <w:pPr>
        <w:pStyle w:val="2"/>
        <w:numPr>
          <w:ilvl w:val="0"/>
          <w:numId w:val="2"/>
        </w:numPr>
        <w:ind w:firstLine="64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部门评价项目绩效评价结果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“军队供应工作经费”项目支出绩效评价报告</w:t>
      </w:r>
    </w:p>
    <w:p>
      <w:pPr>
        <w:pStyle w:val="2"/>
        <w:numPr>
          <w:ilvl w:val="0"/>
          <w:numId w:val="3"/>
        </w:numPr>
        <w:ind w:firstLine="640" w:firstLineChars="20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基本情况</w:t>
      </w:r>
    </w:p>
    <w:p>
      <w:pPr>
        <w:pStyle w:val="2"/>
        <w:numPr>
          <w:ilvl w:val="0"/>
          <w:numId w:val="0"/>
        </w:numP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 xml:space="preserve">    (一）项目概况</w:t>
      </w:r>
    </w:p>
    <w:p>
      <w:pPr>
        <w:pStyle w:val="2"/>
        <w:numPr>
          <w:ilvl w:val="0"/>
          <w:numId w:val="0"/>
        </w:numPr>
        <w:ind w:firstLine="64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用于补贴过往部队及新老兵的饮食、饮水、住宿的专项资金。</w:t>
      </w:r>
    </w:p>
    <w:p>
      <w:pPr>
        <w:pStyle w:val="2"/>
        <w:numPr>
          <w:ilvl w:val="0"/>
          <w:numId w:val="4"/>
        </w:numPr>
        <w:ind w:firstLine="640" w:firstLineChars="20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项目绩效目标。包括总体目标和阶段性目标。</w:t>
      </w:r>
    </w:p>
    <w:p>
      <w:pPr>
        <w:pStyle w:val="2"/>
        <w:numPr>
          <w:ilvl w:val="0"/>
          <w:numId w:val="0"/>
        </w:numPr>
        <w:ind w:left="640" w:leftChars="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1.总体目标：圆满完成每一批部队供应任务。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2.阶段性目标：专项资金主要用于提高过往部队及新老兵的满意度。</w:t>
      </w:r>
    </w:p>
    <w:p>
      <w:pPr>
        <w:pStyle w:val="2"/>
        <w:numPr>
          <w:ilvl w:val="0"/>
          <w:numId w:val="3"/>
        </w:numPr>
        <w:ind w:left="0" w:leftChars="0" w:firstLine="640" w:firstLineChars="20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绩效评价工作开展情况</w:t>
      </w:r>
    </w:p>
    <w:p>
      <w:pPr>
        <w:pStyle w:val="2"/>
        <w:numPr>
          <w:ilvl w:val="0"/>
          <w:numId w:val="5"/>
        </w:numPr>
        <w:ind w:leftChars="20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绩效评价目的、对象和范围</w:t>
      </w:r>
    </w:p>
    <w:p>
      <w:pPr>
        <w:pStyle w:val="2"/>
        <w:numPr>
          <w:ilvl w:val="0"/>
          <w:numId w:val="0"/>
        </w:numPr>
        <w:ind w:firstLine="64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通过项目绩效评价，理清项目资金使用情况，总结经验教训，提高资金使用效率；掌握和了解该项目的实施情况、项目实施效果，为今后项目开展总结经验，使其发挥更大的作用。</w:t>
      </w:r>
    </w:p>
    <w:p>
      <w:pPr>
        <w:pStyle w:val="2"/>
        <w:numPr>
          <w:ilvl w:val="0"/>
          <w:numId w:val="0"/>
        </w:numPr>
        <w:ind w:firstLine="64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(二)绩效评价原则、评价指标体系(附表说明)、评价方</w:t>
      </w:r>
    </w:p>
    <w:p>
      <w:pPr>
        <w:pStyle w:val="2"/>
        <w:numPr>
          <w:ilvl w:val="0"/>
          <w:numId w:val="0"/>
        </w:numPr>
        <w:ind w:left="0" w:leftChars="0" w:firstLine="0" w:firstLineChars="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法、评价标准等。</w:t>
      </w:r>
    </w:p>
    <w:p>
      <w:pPr>
        <w:pStyle w:val="2"/>
        <w:numPr>
          <w:ilvl w:val="0"/>
          <w:numId w:val="0"/>
        </w:numPr>
        <w:ind w:firstLine="64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本次绩效评价工作遵循以下基本原则开展:</w:t>
      </w:r>
    </w:p>
    <w:p>
      <w:pPr>
        <w:pStyle w:val="2"/>
        <w:numPr>
          <w:ilvl w:val="0"/>
          <w:numId w:val="0"/>
        </w:numPr>
        <w:ind w:firstLine="64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1.科学规范原则。绩效评价注重财政支出的经济性、效率性和有效性，严格执行规定的程序，采用定量与定性分析相结合的方法。</w:t>
      </w:r>
    </w:p>
    <w:p>
      <w:pPr>
        <w:pStyle w:val="2"/>
        <w:numPr>
          <w:ilvl w:val="0"/>
          <w:numId w:val="0"/>
        </w:numPr>
        <w:ind w:firstLine="64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2.公正公开原则。绩效评价客观、公正，标准统一、资料可靠，依法公开并接受监督。</w:t>
      </w:r>
    </w:p>
    <w:p>
      <w:pPr>
        <w:pStyle w:val="2"/>
        <w:numPr>
          <w:ilvl w:val="0"/>
          <w:numId w:val="0"/>
        </w:numPr>
        <w:ind w:firstLine="64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3.绩效相关原则。绩效评价针对具体支出及其产出绩效进行，评价结果清晰反映支出和产出绩效之间的紧密对应关系。</w:t>
      </w:r>
    </w:p>
    <w:p>
      <w:pPr>
        <w:pStyle w:val="2"/>
        <w:numPr>
          <w:ilvl w:val="0"/>
          <w:numId w:val="0"/>
        </w:numPr>
        <w:ind w:firstLine="64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评价指标体系(见项目支出绩效自评表)</w:t>
      </w:r>
    </w:p>
    <w:p>
      <w:pPr>
        <w:pStyle w:val="2"/>
        <w:numPr>
          <w:ilvl w:val="0"/>
          <w:numId w:val="0"/>
        </w:numPr>
        <w:ind w:firstLine="64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绩效评价方法和标准:</w:t>
      </w:r>
    </w:p>
    <w:p>
      <w:pPr>
        <w:pStyle w:val="2"/>
        <w:numPr>
          <w:ilvl w:val="0"/>
          <w:numId w:val="0"/>
        </w:numPr>
        <w:ind w:firstLine="64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本项目绩效评价采用成本效益分析法、比较法、公众评判法。</w:t>
      </w:r>
    </w:p>
    <w:p>
      <w:pPr>
        <w:pStyle w:val="2"/>
        <w:numPr>
          <w:ilvl w:val="0"/>
          <w:numId w:val="0"/>
        </w:numPr>
        <w:ind w:firstLine="64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(三)绩效评价工作过程</w:t>
      </w:r>
    </w:p>
    <w:p>
      <w:pPr>
        <w:pStyle w:val="2"/>
        <w:numPr>
          <w:ilvl w:val="0"/>
          <w:numId w:val="0"/>
        </w:numPr>
        <w:ind w:firstLine="64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1.前期准备:根据景德镇市财政项目支出绩效评价管理办法，组织实施该项目绩效评价工作。</w:t>
      </w:r>
    </w:p>
    <w:p>
      <w:pPr>
        <w:pStyle w:val="2"/>
        <w:numPr>
          <w:ilvl w:val="0"/>
          <w:numId w:val="0"/>
        </w:numPr>
        <w:ind w:firstLine="64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2.组织实施:根据工作需要，提出绩效评价工作计划和实施方案，定期开展检查监督。一是调阅项目资料;二是现场查看项目实施情况;三是走访项目实施地的群众。</w:t>
      </w:r>
    </w:p>
    <w:p>
      <w:pPr>
        <w:pStyle w:val="2"/>
        <w:numPr>
          <w:ilvl w:val="0"/>
          <w:numId w:val="0"/>
        </w:numPr>
        <w:ind w:firstLine="64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3.分析评价:该专项的组织实施，整体提升了部队保障工作能力和水平，促进我市部队供应工作的持续进步和发展。</w:t>
      </w:r>
    </w:p>
    <w:p>
      <w:pPr>
        <w:pStyle w:val="2"/>
        <w:numPr>
          <w:ilvl w:val="0"/>
          <w:numId w:val="0"/>
        </w:numPr>
        <w:ind w:firstLine="64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三、综合评价情况和评价结论</w:t>
      </w:r>
    </w:p>
    <w:p>
      <w:pPr>
        <w:pStyle w:val="2"/>
        <w:numPr>
          <w:ilvl w:val="0"/>
          <w:numId w:val="0"/>
        </w:numPr>
        <w:ind w:firstLine="64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产出指标、效益指标和满意度指标三个部分均达到预期绩效目标。根据年初设定的绩效目标，“军队供应工作经费”专项经费项目绩效自评得分为100分。项目全年预算数为20万元，执行数为20万元，完成预算的100%。主要产出和效果：一是加强了部队供应能力。购买了新的洗地机、切菜机等厨房电器，提高了工作效率。二是提高了部队供应质量。提供的服务水平高于部队的伙食住宿标准。过往部队及新老兵的满意率达到了100%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四、绩效评价指标分析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（一）项目决策情况。根据部队供应工作的要求，市政府将部队供应纳入双拥工作重要项目。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（二）项目过程情况。全面落实部队供应责任，健全部队服务水平考核体系，细化量化考核指标。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（三）项目产出情况。更新了军供厨房的厨房电器，提高了供餐过程中的自动化水平，使提供的服务水平远远高于部队的伙食住宿标准。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（四）项目效益情况。增强了社会对军人的尊重，提高了过往部队对于当兵的满足感和幸福感。也使得我站军供保障水平越来越高。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五、主要经验及做法、存在的问题及原因分析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1.提高工作中的自动化水平，有利于提高工作效率，更利于提高工作水平。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2.每一个军供人都以饱满的斗志完成军供任务，工作条件的改善也提高了职工的工作积极性。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3.要出台相应的项目内部管理制度，确保专款专用，做到项目经费有保障。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存在问题：我站制定了资金管理办法，严格执行相关制度，无截留挪用现象。无明显问题存在。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六、有关建议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进一步加大政策扶持，通过增加项目资金额度，加大投入。</w:t>
      </w:r>
    </w:p>
    <w:p>
      <w:pPr>
        <w:pStyle w:val="2"/>
        <w:numPr>
          <w:ilvl w:val="0"/>
          <w:numId w:val="6"/>
        </w:numPr>
        <w:ind w:firstLine="640" w:firstLineChars="200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其他需要说明的问题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无</w:t>
      </w:r>
    </w:p>
    <w:p>
      <w:pPr>
        <w:widowControl/>
        <w:spacing w:line="600" w:lineRule="exact"/>
        <w:ind w:firstLine="640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widowControl/>
        <w:spacing w:line="600" w:lineRule="exact"/>
        <w:ind w:firstLine="640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第四部分  名词解释</w:t>
      </w:r>
    </w:p>
    <w:p>
      <w:pPr>
        <w:pStyle w:val="7"/>
        <w:spacing w:line="600" w:lineRule="atLeast"/>
        <w:ind w:firstLine="600"/>
        <w:rPr>
          <w:rFonts w:hint="eastAsia" w:ascii="仿宋_GB2312" w:hAnsi="仿宋" w:eastAsia="仿宋_GB2312"/>
          <w:sz w:val="32"/>
          <w:szCs w:val="32"/>
        </w:rPr>
      </w:pPr>
    </w:p>
    <w:p>
      <w:pPr>
        <w:ind w:firstLine="640"/>
        <w:rPr>
          <w:rFonts w:hint="eastAsia" w:ascii="仿宋_GB2312" w:hAnsi="仿宋" w:eastAsia="仿宋_GB2312" w:cs="仿宋_GB2312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财政拨款收入：指单位本年度从财政部门取得的财政拨款。</w:t>
      </w:r>
    </w:p>
    <w:p>
      <w:pPr>
        <w:ind w:firstLine="640"/>
        <w:rPr>
          <w:rFonts w:hint="eastAsia" w:ascii="仿宋_GB2312" w:hAnsi="仿宋" w:eastAsia="仿宋_GB2312" w:cs="仿宋_GB2312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kern w:val="0"/>
          <w:sz w:val="32"/>
          <w:szCs w:val="32"/>
        </w:rPr>
        <w:t xml:space="preserve"> 一般公共预算：是对以税收为主体的财政收入，安排用于保障和改善民生、推动经济社会发展、维护国家安全、维持国家机构正常运转等方面的收支预算。 </w:t>
      </w:r>
    </w:p>
    <w:p>
      <w:pPr>
        <w:ind w:firstLine="640"/>
        <w:rPr>
          <w:rFonts w:hint="eastAsia" w:ascii="仿宋_GB2312" w:hAnsi="仿宋" w:eastAsia="仿宋_GB2312" w:cs="仿宋_GB2312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kern w:val="0"/>
          <w:sz w:val="32"/>
          <w:szCs w:val="32"/>
        </w:rPr>
        <w:t xml:space="preserve">年初结转和结余：指单位上年结转本年使用的基本支出结 转、项目支出结转和结余和经营结余。 </w:t>
      </w:r>
    </w:p>
    <w:p>
      <w:pPr>
        <w:ind w:firstLine="640"/>
        <w:rPr>
          <w:rFonts w:hint="eastAsia" w:ascii="仿宋_GB2312" w:hAnsi="仿宋" w:eastAsia="仿宋_GB2312" w:cs="仿宋_GB2312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kern w:val="0"/>
          <w:sz w:val="32"/>
          <w:szCs w:val="32"/>
        </w:rPr>
        <w:t xml:space="preserve">年末结转和结余：指本年度或以前年度预算安排、因客观条件发生变化无法按原计划实施，需要延迟到以后年度按有关规定继续使用的资金。 </w:t>
      </w:r>
    </w:p>
    <w:p>
      <w:pPr>
        <w:ind w:firstLine="640" w:firstLineChars="200"/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一般公共服务支出：反映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 xml:space="preserve">提供一般公共服务的支出。 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 xml:space="preserve"> </w:t>
      </w:r>
    </w:p>
    <w:p>
      <w:pPr>
        <w:ind w:firstLine="640" w:firstLineChars="200"/>
        <w:rPr>
          <w:rFonts w:hint="eastAsia" w:ascii="仿宋_GB2312" w:hAnsi="仿宋" w:eastAsia="仿宋_GB2312" w:cs="仿宋_GB2312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社会保障和就业支出：反映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 xml:space="preserve">在社会保障与就业方面的支出。 </w:t>
      </w:r>
    </w:p>
    <w:p>
      <w:pPr>
        <w:ind w:firstLine="640" w:firstLineChars="200"/>
        <w:rPr>
          <w:rFonts w:hint="eastAsia" w:ascii="仿宋_GB2312" w:hAnsi="仿宋" w:eastAsia="仿宋_GB2312" w:cs="仿宋_GB2312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卫生健康支出：反映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 xml:space="preserve">卫生健康方面的支出。 </w:t>
      </w:r>
    </w:p>
    <w:p>
      <w:pPr>
        <w:ind w:firstLine="640" w:firstLineChars="200"/>
        <w:rPr>
          <w:rFonts w:hint="eastAsia" w:ascii="仿宋_GB2312" w:hAnsi="仿宋" w:eastAsia="仿宋_GB2312" w:cs="仿宋_GB2312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住房保障支出：集中反映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 xml:space="preserve">用于住房方面的支出。 </w:t>
      </w:r>
    </w:p>
    <w:p>
      <w:pPr>
        <w:ind w:firstLine="640" w:firstLineChars="200"/>
        <w:rPr>
          <w:rFonts w:hint="eastAsia" w:ascii="仿宋_GB2312" w:hAnsi="仿宋" w:eastAsia="仿宋_GB2312" w:cs="仿宋_GB2312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kern w:val="0"/>
          <w:sz w:val="32"/>
          <w:szCs w:val="32"/>
        </w:rPr>
        <w:t xml:space="preserve">工资福利支出：反映单位开支的在职职工和编制外长期聘用人员的各类劳动报酬，以及为上述人员缴纳的各项社会保险费等。 </w:t>
      </w:r>
    </w:p>
    <w:p>
      <w:pPr>
        <w:ind w:firstLine="640" w:firstLineChars="200"/>
        <w:rPr>
          <w:rFonts w:hint="eastAsia" w:ascii="仿宋_GB2312" w:hAnsi="仿宋" w:eastAsia="仿宋_GB2312" w:cs="仿宋_GB2312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kern w:val="0"/>
          <w:sz w:val="32"/>
          <w:szCs w:val="32"/>
        </w:rPr>
        <w:t xml:space="preserve">商品和服务支出：反映单位购买商品和服务支出，不包括用于购置固定资产、战略性和应急性物资储备等资本性支出。 </w:t>
      </w:r>
    </w:p>
    <w:p>
      <w:pPr>
        <w:ind w:firstLine="640" w:firstLineChars="200"/>
        <w:rPr>
          <w:rFonts w:hint="eastAsia" w:ascii="仿宋_GB2312" w:hAnsi="仿宋" w:eastAsia="仿宋_GB2312" w:cs="仿宋_GB2312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对个人和家庭的补助：反映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 xml:space="preserve">用于对个人和家庭的补助支出。 </w:t>
      </w:r>
    </w:p>
    <w:p>
      <w:pPr>
        <w:ind w:firstLine="640" w:firstLineChars="200"/>
        <w:rPr>
          <w:rFonts w:hint="eastAsia" w:ascii="仿宋_GB2312" w:hAnsi="仿宋" w:eastAsia="仿宋_GB2312" w:cs="仿宋_GB2312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kern w:val="0"/>
          <w:sz w:val="32"/>
          <w:szCs w:val="32"/>
        </w:rPr>
        <w:t xml:space="preserve">资本性支出：反映单位安排的资本性支出。 </w:t>
      </w:r>
    </w:p>
    <w:p>
      <w:pPr>
        <w:ind w:firstLine="640" w:firstLineChars="200"/>
        <w:rPr>
          <w:rFonts w:hint="eastAsia" w:ascii="仿宋_GB2312" w:hAnsi="仿宋" w:eastAsia="仿宋_GB2312" w:cs="仿宋_GB2312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kern w:val="0"/>
          <w:sz w:val="32"/>
          <w:szCs w:val="32"/>
          <w:lang w:eastAsia="zh-CN"/>
        </w:rPr>
        <w:t>“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 xml:space="preserve">三公”经费：指部门用一般公共预算财政拨款安排的因公出国（境）费、公务用车购置及运行费和公务接待费。其中，因公出国（境）费指单位公务出国（境）的住宿费、旅费、伙食 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 </w:t>
      </w:r>
    </w:p>
    <w:p>
      <w:pPr>
        <w:ind w:firstLine="640" w:firstLineChars="200"/>
        <w:rPr>
          <w:rFonts w:hint="eastAsia" w:ascii="仿宋_GB2312" w:hAnsi="仿宋" w:eastAsia="仿宋_GB2312" w:cs="仿宋_GB2312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机关运行经费：指为保障单位运行用于购买货物和服务的各项 资金，包括办公及印刷费、邮电费、差旅费、会议费、福利费、日常 维修费、专用材料及一般设备购置费、办公用房水电费、办公用房 取暖费、办公用房物业管理费、公务用车运行维护费以及其他费用。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F1AB64"/>
    <w:multiLevelType w:val="singleLevel"/>
    <w:tmpl w:val="CEF1AB64"/>
    <w:lvl w:ilvl="0" w:tentative="0">
      <w:start w:val="8"/>
      <w:numFmt w:val="chineseCounting"/>
      <w:suff w:val="nothing"/>
      <w:lvlText w:val="%1、"/>
      <w:lvlJc w:val="left"/>
      <w:pPr>
        <w:ind w:left="1280" w:firstLine="0"/>
      </w:pPr>
    </w:lvl>
  </w:abstractNum>
  <w:abstractNum w:abstractNumId="1">
    <w:nsid w:val="D7CAA7CF"/>
    <w:multiLevelType w:val="singleLevel"/>
    <w:tmpl w:val="D7CAA7C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80D253C"/>
    <w:multiLevelType w:val="singleLevel"/>
    <w:tmpl w:val="E80D253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E871C405"/>
    <w:multiLevelType w:val="singleLevel"/>
    <w:tmpl w:val="E871C40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4AE9A93B"/>
    <w:multiLevelType w:val="singleLevel"/>
    <w:tmpl w:val="4AE9A93B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58478A3C"/>
    <w:multiLevelType w:val="singleLevel"/>
    <w:tmpl w:val="58478A3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  <w:lvlOverride w:ilvl="0">
      <w:startOverride w:val="8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OWFjNGFmMDFjYjY3OTU5YTc5MGYxZmU2Y2M4ZTQifQ=="/>
  </w:docVars>
  <w:rsids>
    <w:rsidRoot w:val="45292D30"/>
    <w:rsid w:val="00024662"/>
    <w:rsid w:val="01C16AFD"/>
    <w:rsid w:val="188A42FD"/>
    <w:rsid w:val="1B4B6D64"/>
    <w:rsid w:val="1D561C6E"/>
    <w:rsid w:val="21694C93"/>
    <w:rsid w:val="2738201D"/>
    <w:rsid w:val="27E63360"/>
    <w:rsid w:val="353F0B39"/>
    <w:rsid w:val="36120393"/>
    <w:rsid w:val="388E2157"/>
    <w:rsid w:val="408F5828"/>
    <w:rsid w:val="42F73605"/>
    <w:rsid w:val="43C271E7"/>
    <w:rsid w:val="45292D30"/>
    <w:rsid w:val="47A453F8"/>
    <w:rsid w:val="4DE66A7B"/>
    <w:rsid w:val="4E90083D"/>
    <w:rsid w:val="53535815"/>
    <w:rsid w:val="55DC5604"/>
    <w:rsid w:val="5B8E1D25"/>
    <w:rsid w:val="630D781F"/>
    <w:rsid w:val="67CC6D71"/>
    <w:rsid w:val="70B6752A"/>
    <w:rsid w:val="744476A3"/>
    <w:rsid w:val="75A850E9"/>
    <w:rsid w:val="7ACE2FE5"/>
    <w:rsid w:val="7C7A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纯文本1"/>
    <w:basedOn w:val="1"/>
    <w:qFormat/>
    <w:uiPriority w:val="0"/>
    <w:rPr>
      <w:rFonts w:ascii="宋体" w:hAnsi="Courier New" w:cs="Courier New"/>
      <w:szCs w:val="21"/>
    </w:rPr>
  </w:style>
  <w:style w:type="table" w:styleId="5">
    <w:name w:val="Table Grid"/>
    <w:basedOn w:val="4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7">
    <w:name w:val="p0"/>
    <w:basedOn w:val="1"/>
    <w:qFormat/>
    <w:uiPriority w:val="0"/>
    <w:pPr>
      <w:widowControl/>
    </w:pPr>
    <w:rPr>
      <w:rFonts w:ascii="Calibri" w:hAnsi="Calibri"/>
      <w:kern w:val="0"/>
      <w:szCs w:val="21"/>
    </w:rPr>
  </w:style>
  <w:style w:type="paragraph" w:customStyle="1" w:styleId="8">
    <w:name w:val="闻政正文"/>
    <w:basedOn w:val="1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</w:rPr>
  </w:style>
  <w:style w:type="paragraph" w:customStyle="1" w:styleId="9">
    <w:name w:val="Body text|1"/>
    <w:basedOn w:val="1"/>
    <w:qFormat/>
    <w:uiPriority w:val="0"/>
    <w:pPr>
      <w:widowControl w:val="0"/>
      <w:shd w:val="clear" w:color="auto" w:fill="auto"/>
      <w:spacing w:line="372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4738</Words>
  <Characters>5159</Characters>
  <Lines>0</Lines>
  <Paragraphs>0</Paragraphs>
  <TotalTime>52</TotalTime>
  <ScaleCrop>false</ScaleCrop>
  <LinksUpToDate>false</LinksUpToDate>
  <CharactersWithSpaces>5255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2021-10-05T02:59:00Z</dcterms:created>
  <dc:creator>超</dc:creator>
  <cp:lastModifiedBy>Can't stop.Ribbon</cp:lastModifiedBy>
  <dcterms:modified xsi:type="dcterms:W3CDTF">2022-09-20T09:38:25Z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03922DDFF92D419A9A5CFE356B32912F</vt:lpwstr>
  </property>
</Properties>
</file>