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b w:val="0"/>
          <w:bCs w:val="0"/>
          <w:sz w:val="32"/>
          <w:szCs w:val="32"/>
        </w:rPr>
      </w:pPr>
      <w:r>
        <w:rPr>
          <w:rFonts w:hint="eastAsia" w:ascii="楷体_GB2312" w:hAnsi="仿宋" w:eastAsia="楷体_GB2312" w:cs="楷体_GB2312"/>
          <w:b w:val="0"/>
          <w:bCs w:val="0"/>
          <w:sz w:val="32"/>
          <w:szCs w:val="32"/>
        </w:rPr>
        <w:t>附件</w:t>
      </w:r>
      <w:r>
        <w:rPr>
          <w:rFonts w:hint="eastAsia" w:ascii="楷体_GB2312" w:hAnsi="仿宋" w:eastAsia="楷体_GB2312" w:cs="楷体_GB2312"/>
          <w:b w:val="0"/>
          <w:bCs w:val="0"/>
          <w:sz w:val="32"/>
          <w:szCs w:val="32"/>
          <w:lang w:eastAsia="zh-CN"/>
        </w:rPr>
        <w:t>：</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r>
        <w:rPr>
          <w:rFonts w:hint="eastAsia" w:ascii="黑体" w:hAnsi="黑体" w:eastAsia="黑体" w:cs="黑体"/>
          <w:lang w:val="en-US" w:eastAsia="zh-CN"/>
        </w:rPr>
        <w:t>景德镇市退役军人事务局2023</w:t>
      </w:r>
      <w:r>
        <w:rPr>
          <w:rFonts w:hint="eastAsia" w:ascii="黑体" w:hAnsi="黑体" w:eastAsia="黑体" w:cs="黑体"/>
        </w:rPr>
        <w:t>年</w:t>
      </w:r>
      <w:r>
        <w:rPr>
          <w:rFonts w:hint="eastAsia" w:ascii="黑体" w:hAnsi="黑体" w:eastAsia="黑体" w:cs="黑体"/>
          <w:lang w:val="en-US" w:eastAsia="zh-CN"/>
        </w:rPr>
        <w:t>单位</w:t>
      </w:r>
      <w:r>
        <w:rPr>
          <w:rFonts w:hint="eastAsia" w:ascii="黑体" w:hAnsi="黑体" w:eastAsia="黑体" w:cs="黑体"/>
        </w:rPr>
        <w:t>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景德镇市退役军人事务局单位</w:t>
      </w:r>
      <w:r>
        <w:rPr>
          <w:rFonts w:hint="eastAsia" w:ascii="黑体" w:hAnsi="宋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default" w:ascii="仿宋_GB2312" w:eastAsia="仿宋_GB2312" w:cs="Times New Roman"/>
          <w:sz w:val="32"/>
          <w:szCs w:val="32"/>
          <w:lang w:val="en-US" w:eastAsia="zh-CN"/>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单位机构设置及人员情况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val="en-US" w:eastAsia="zh-CN"/>
        </w:rPr>
        <w:t>二</w:t>
      </w:r>
      <w:r>
        <w:rPr>
          <w:rFonts w:hint="eastAsia" w:ascii="黑体" w:hAnsi="宋体" w:eastAsia="黑体" w:cs="黑体"/>
          <w:sz w:val="32"/>
          <w:szCs w:val="32"/>
        </w:rPr>
        <w:t>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景德镇市退役军人事务局（本级）2023</w:t>
      </w:r>
      <w:r>
        <w:rPr>
          <w:rFonts w:hint="eastAsia" w:ascii="黑体" w:hAnsi="宋体" w:eastAsia="黑体" w:cs="黑体"/>
          <w:sz w:val="32"/>
          <w:szCs w:val="32"/>
        </w:rPr>
        <w:t>年</w:t>
      </w:r>
      <w:r>
        <w:rPr>
          <w:rFonts w:hint="eastAsia" w:ascii="黑体" w:hAnsi="宋体" w:eastAsia="黑体" w:cs="黑体"/>
          <w:sz w:val="32"/>
          <w:szCs w:val="32"/>
          <w:lang w:val="en-US" w:eastAsia="zh-CN"/>
        </w:rPr>
        <w:t>单位</w:t>
      </w:r>
      <w:r>
        <w:rPr>
          <w:rFonts w:hint="eastAsia" w:ascii="黑体" w:hAnsi="宋体" w:eastAsia="黑体" w:cs="黑体"/>
          <w:sz w:val="32"/>
          <w:szCs w:val="32"/>
        </w:rPr>
        <w:t>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w:t>
      </w:r>
      <w:r>
        <w:rPr>
          <w:rFonts w:hint="eastAsia" w:ascii="仿宋_GB2312" w:hAnsi="宋体" w:eastAsia="仿宋_GB2312" w:cs="仿宋_GB2312"/>
          <w:sz w:val="32"/>
          <w:szCs w:val="32"/>
          <w:lang w:val="en-US" w:eastAsia="zh-CN"/>
        </w:rPr>
        <w:t>财政拨款</w:t>
      </w:r>
      <w:r>
        <w:rPr>
          <w:rFonts w:hint="eastAsia" w:ascii="仿宋_GB2312" w:hAnsi="宋体" w:eastAsia="仿宋_GB2312" w:cs="仿宋_GB2312"/>
          <w:sz w:val="32"/>
          <w:szCs w:val="32"/>
        </w:rPr>
        <w:t>“三公”经费支出表》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pStyle w:val="5"/>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九、《国有资本经营预算支出表》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项目绩效目标表》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w:t>
      </w:r>
      <w:r>
        <w:rPr>
          <w:rFonts w:hint="eastAsia" w:ascii="黑体" w:hAnsi="宋体" w:eastAsia="黑体" w:cs="黑体"/>
          <w:sz w:val="32"/>
          <w:szCs w:val="32"/>
          <w:lang w:eastAsia="zh-CN"/>
        </w:rPr>
        <w:t>三</w:t>
      </w:r>
      <w:r>
        <w:rPr>
          <w:rFonts w:hint="eastAsia" w:ascii="黑体" w:hAnsi="宋体" w:eastAsia="黑体" w:cs="黑体"/>
          <w:sz w:val="32"/>
          <w:szCs w:val="32"/>
        </w:rPr>
        <w:t>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景德镇市退役军人事务局（本级）2023</w:t>
      </w:r>
      <w:r>
        <w:rPr>
          <w:rFonts w:hint="eastAsia" w:ascii="黑体" w:hAnsi="宋体" w:eastAsia="黑体" w:cs="黑体"/>
          <w:sz w:val="32"/>
          <w:szCs w:val="32"/>
        </w:rPr>
        <w:t>年</w:t>
      </w:r>
      <w:r>
        <w:rPr>
          <w:rFonts w:hint="eastAsia" w:ascii="黑体" w:hAnsi="宋体" w:eastAsia="黑体" w:cs="黑体"/>
          <w:sz w:val="32"/>
          <w:szCs w:val="32"/>
          <w:lang w:val="en-US" w:eastAsia="zh-CN"/>
        </w:rPr>
        <w:t>单位预算</w:t>
      </w:r>
      <w:r>
        <w:rPr>
          <w:rFonts w:hint="eastAsia" w:ascii="黑体" w:hAnsi="宋体" w:eastAsia="黑体" w:cs="黑体"/>
          <w:sz w:val="32"/>
          <w:szCs w:val="32"/>
        </w:rPr>
        <w:t>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单位</w:t>
      </w:r>
      <w:r>
        <w:rPr>
          <w:rFonts w:hint="eastAsia" w:ascii="仿宋_GB2312" w:hAnsi="宋体" w:eastAsia="仿宋_GB2312" w:cs="仿宋_GB2312"/>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2023</w:t>
      </w:r>
      <w:r>
        <w:rPr>
          <w:rFonts w:hint="eastAsia" w:ascii="仿宋_GB2312" w:hAnsi="宋体" w:eastAsia="仿宋_GB2312" w:cs="仿宋_GB2312"/>
          <w:sz w:val="32"/>
          <w:szCs w:val="32"/>
        </w:rPr>
        <w:t>年“三公”经费预算情况说明</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p>
    <w:p>
      <w:pPr>
        <w:pStyle w:val="5"/>
        <w:rPr>
          <w:rFonts w:hint="eastAsia"/>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景德镇市退役军人事务局单位</w:t>
      </w:r>
      <w:r>
        <w:rPr>
          <w:rFonts w:hint="eastAsia" w:ascii="黑体" w:hAnsi="宋体" w:eastAsia="黑体" w:cs="黑体"/>
          <w:sz w:val="32"/>
          <w:szCs w:val="32"/>
        </w:rPr>
        <w:t>概况</w:t>
      </w:r>
    </w:p>
    <w:p>
      <w:pPr>
        <w:keepNext w:val="0"/>
        <w:keepLines w:val="0"/>
        <w:pageBreakBefore w:val="0"/>
        <w:kinsoku/>
        <w:wordWrap/>
        <w:overflowPunct/>
        <w:topLinePunct w:val="0"/>
        <w:autoSpaceDE/>
        <w:autoSpaceDN/>
        <w:bidi w:val="0"/>
        <w:adjustRightInd/>
        <w:snapToGrid/>
        <w:spacing w:line="240" w:lineRule="auto"/>
        <w:ind w:firstLine="630" w:firstLineChars="196"/>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单位</w:t>
      </w:r>
      <w:r>
        <w:rPr>
          <w:rFonts w:hint="eastAsia" w:ascii="仿宋_GB2312" w:hAnsi="宋体" w:eastAsia="仿宋_GB2312" w:cs="仿宋_GB2312"/>
          <w:b/>
          <w:bCs/>
          <w:sz w:val="32"/>
          <w:szCs w:val="32"/>
        </w:rPr>
        <w:t>主要职责</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景德镇市退役军人事务局主要职责是：</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拟订全市退役军人思想政治、管理保障和安置优抚等工作地方性法规规章和政策并组织实施，褒扬彰显退役军人为党、国家和人民牺牲奉献的精神风范和价值导向。</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负责全市军队转业干部、复员干部、离休退休干部、退役士兵和无军籍退休退职职工的移交安置工作和自主择业、就业退役军人服务管理等有关工作。</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 xml:space="preserve">组织指导全市退役军人教育培训工作，协调扶持退役军人和随军随调家属就业创业。                     </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会同有关部门拟定全市退役军人特殊保障政策并组织落实。</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5、</w:t>
      </w:r>
      <w:r>
        <w:rPr>
          <w:rFonts w:ascii="仿宋_GB2312" w:hAnsi="宋体" w:eastAsia="仿宋_GB2312" w:cs="仿宋_GB2312"/>
          <w:sz w:val="32"/>
          <w:szCs w:val="32"/>
        </w:rPr>
        <w:t>组织协调落实军队移交我市符合条件的离休退休干部住房补贴和无军籍退休退职职工住房维修、房租补贴发放等服务保障工作，以及退役军人医疗保障、社会保险等待遇保障工作。</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6、</w:t>
      </w:r>
      <w:r>
        <w:rPr>
          <w:rFonts w:ascii="仿宋_GB2312" w:hAnsi="宋体" w:eastAsia="仿宋_GB2312" w:cs="仿宋_GB2312"/>
          <w:sz w:val="32"/>
          <w:szCs w:val="32"/>
        </w:rPr>
        <w:t>组织指导全市伤病残退役军人服务管理和抚恤工作，会同有关部门拟订有关退役军人医疗、疗养、养老等机构的规划政策并指导实施。承担不适宜继续服役的伤病残军人相关工作。组织指导军供服务保障工作。</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7、</w:t>
      </w:r>
      <w:r>
        <w:rPr>
          <w:rFonts w:ascii="仿宋_GB2312" w:hAnsi="宋体" w:eastAsia="仿宋_GB2312" w:cs="仿宋_GB2312"/>
          <w:sz w:val="32"/>
          <w:szCs w:val="32"/>
        </w:rPr>
        <w:t>组织指导全市拥军优属工作。负责现役军人、退役军人、军队文职人员和军属优待、抚恤等工作，落实国民党抗战老兵等有关人员优待政策。</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8、</w:t>
      </w:r>
      <w:r>
        <w:rPr>
          <w:rFonts w:ascii="仿宋_GB2312" w:hAnsi="宋体" w:eastAsia="仿宋_GB2312" w:cs="仿宋_GB2312"/>
          <w:sz w:val="32"/>
          <w:szCs w:val="32"/>
        </w:rPr>
        <w:t>负责烈士及退役军人荣誉奖励、军人公墓管理维护</w:t>
      </w:r>
      <w:r>
        <w:rPr>
          <w:rFonts w:hint="eastAsia" w:ascii="仿宋_GB2312" w:hAnsi="宋体" w:eastAsia="仿宋_GB2312" w:cs="仿宋_GB2312"/>
          <w:sz w:val="32"/>
          <w:szCs w:val="32"/>
        </w:rPr>
        <w:t>、</w:t>
      </w:r>
      <w:r>
        <w:rPr>
          <w:rFonts w:ascii="仿宋_GB2312" w:hAnsi="宋体" w:eastAsia="仿宋_GB2312" w:cs="仿宋_GB2312"/>
          <w:sz w:val="32"/>
          <w:szCs w:val="32"/>
        </w:rPr>
        <w:t>纪念活动等工作，依法承担英雄烈士保护相关工作，审核拟列入市级烈士纪念设施名录，按规定总结表彰和宣扬退役军人、退役军人工作单位和个人先进典型事迹。</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9、</w:t>
      </w:r>
      <w:r>
        <w:rPr>
          <w:rFonts w:ascii="仿宋_GB2312" w:hAnsi="宋体" w:eastAsia="仿宋_GB2312" w:cs="仿宋_GB2312"/>
          <w:sz w:val="32"/>
          <w:szCs w:val="32"/>
        </w:rPr>
        <w:t>指导并监督检查退役军人相关法律法规和政策措施的落实，组织开展退役军人权益维护和有关人员的帮扶援助工作。指导督促所属单位进行安全管理。</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10、</w:t>
      </w:r>
      <w:r>
        <w:rPr>
          <w:rFonts w:ascii="仿宋_GB2312" w:hAnsi="宋体" w:eastAsia="仿宋_GB2312" w:cs="仿宋_GB2312"/>
          <w:sz w:val="32"/>
          <w:szCs w:val="32"/>
        </w:rPr>
        <w:t>在征求市委组织、机构编制等部门意见基础上，牵头提出全市计划分配军队转业干部、符合条件的退役士兵的安置计划。</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11、</w:t>
      </w:r>
      <w:r>
        <w:rPr>
          <w:rFonts w:ascii="仿宋_GB2312" w:hAnsi="宋体" w:eastAsia="仿宋_GB2312" w:cs="仿宋_GB2312"/>
          <w:sz w:val="32"/>
          <w:szCs w:val="32"/>
        </w:rPr>
        <w:t>完成市委、市政府交办的其他任务。</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12、</w:t>
      </w:r>
      <w:r>
        <w:rPr>
          <w:rFonts w:ascii="仿宋_GB2312" w:hAnsi="宋体" w:eastAsia="仿宋_GB2312" w:cs="仿宋_GB2312"/>
          <w:sz w:val="32"/>
          <w:szCs w:val="32"/>
        </w:rPr>
        <w:t>职能转变。市退役军人事务局应加强全市退役军人</w:t>
      </w:r>
      <w:r>
        <w:rPr>
          <w:rFonts w:hint="eastAsia" w:ascii="仿宋_GB2312" w:hAnsi="宋体" w:eastAsia="仿宋_GB2312" w:cs="仿宋_GB2312"/>
          <w:sz w:val="32"/>
          <w:szCs w:val="32"/>
        </w:rPr>
        <w:t>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keepNext w:val="0"/>
        <w:keepLines w:val="0"/>
        <w:pageBreakBefore w:val="0"/>
        <w:kinsoku/>
        <w:wordWrap/>
        <w:overflowPunct/>
        <w:topLinePunct w:val="0"/>
        <w:autoSpaceDE/>
        <w:autoSpaceDN/>
        <w:bidi w:val="0"/>
        <w:adjustRightInd/>
        <w:snapToGrid/>
        <w:spacing w:line="240" w:lineRule="auto"/>
        <w:ind w:firstLine="630" w:firstLineChars="196"/>
        <w:textAlignment w:val="auto"/>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二、</w:t>
      </w:r>
      <w:r>
        <w:rPr>
          <w:rFonts w:hint="eastAsia" w:ascii="仿宋_GB2312" w:hAnsi="宋体" w:eastAsia="仿宋_GB2312" w:cs="仿宋_GB2312"/>
          <w:b/>
          <w:bCs/>
          <w:sz w:val="32"/>
          <w:szCs w:val="32"/>
          <w:lang w:val="en-US" w:eastAsia="zh-CN"/>
        </w:rPr>
        <w:t>单位机构设置及人员情况</w:t>
      </w:r>
    </w:p>
    <w:p>
      <w:pPr>
        <w:ind w:firstLine="630"/>
        <w:jc w:val="left"/>
        <w:rPr>
          <w:rFonts w:hint="default" w:ascii="仿宋" w:hAnsi="仿宋" w:eastAsia="仿宋"/>
          <w:sz w:val="32"/>
          <w:szCs w:val="32"/>
          <w:lang w:val="en-US" w:eastAsia="zh-CN"/>
        </w:rPr>
      </w:pPr>
      <w:r>
        <w:rPr>
          <w:rFonts w:hint="eastAsia" w:ascii="仿宋_GB2312" w:hAnsi="仿宋_GB2312" w:eastAsia="仿宋_GB2312" w:cs="仿宋_GB2312"/>
          <w:sz w:val="32"/>
          <w:szCs w:val="32"/>
          <w:lang w:val="en-US" w:eastAsia="zh-CN"/>
        </w:rPr>
        <w:t>2023年</w:t>
      </w:r>
      <w:r>
        <w:rPr>
          <w:rFonts w:hint="eastAsia" w:ascii="仿宋" w:hAnsi="仿宋" w:eastAsia="仿宋"/>
          <w:sz w:val="32"/>
          <w:szCs w:val="32"/>
          <w:lang w:val="en-US" w:eastAsia="zh-CN"/>
        </w:rPr>
        <w:t>景德镇市退役军人事务局（本级）内设科室4个，分别是办公室、思想政治和权益维护科、移交安置和就业创业科、拥军优抚科。</w:t>
      </w:r>
    </w:p>
    <w:p>
      <w:pPr>
        <w:ind w:firstLine="640" w:firstLineChars="200"/>
        <w:rPr>
          <w:rFonts w:hint="eastAsia" w:ascii="黑体" w:hAnsi="宋体" w:eastAsia="黑体" w:cs="黑体"/>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宋体" w:eastAsia="仿宋_GB2312" w:cs="仿宋_GB2312"/>
          <w:sz w:val="32"/>
          <w:szCs w:val="32"/>
        </w:rPr>
        <w:t>编制数为</w:t>
      </w:r>
      <w:r>
        <w:rPr>
          <w:rFonts w:hint="eastAsia" w:ascii="仿宋_GB2312" w:hAnsi="宋体" w:eastAsia="仿宋_GB2312" w:cs="仿宋_GB2312"/>
          <w:sz w:val="32"/>
          <w:szCs w:val="32"/>
          <w:lang w:val="en-US" w:eastAsia="zh-CN"/>
        </w:rPr>
        <w:t>14</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14</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人、部分补助事业编制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13</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12</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12</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人、部分补助事业编人员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人；离休人员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人。在校学生</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人，其中：高等学校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人、中等专业学校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人，其他</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w:t>
      </w: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rPr>
      </w:pPr>
      <w:r>
        <w:rPr>
          <w:rFonts w:ascii="黑体" w:hAnsi="宋体" w:eastAsia="黑体" w:cs="黑体"/>
          <w:sz w:val="32"/>
          <w:szCs w:val="32"/>
        </w:rPr>
        <w:t xml:space="preserve"> </w:t>
      </w:r>
      <w:r>
        <w:rPr>
          <w:rFonts w:hint="eastAsia" w:ascii="黑体" w:hAnsi="宋体" w:eastAsia="黑体" w:cs="黑体"/>
          <w:sz w:val="32"/>
          <w:szCs w:val="32"/>
          <w:lang w:eastAsia="zh-CN"/>
        </w:rPr>
        <w:t>景德镇市退役军人事务局</w:t>
      </w:r>
      <w:r>
        <w:rPr>
          <w:rFonts w:hint="eastAsia" w:ascii="黑体" w:hAnsi="宋体" w:eastAsia="黑体" w:cs="黑体"/>
          <w:sz w:val="32"/>
          <w:szCs w:val="32"/>
          <w:lang w:val="en-US" w:eastAsia="zh-CN"/>
        </w:rPr>
        <w:t>单位2023年</w:t>
      </w:r>
      <w:r>
        <w:rPr>
          <w:rFonts w:hint="eastAsia" w:ascii="黑体" w:hAnsi="宋体" w:eastAsia="黑体" w:cs="黑体"/>
          <w:sz w:val="32"/>
          <w:szCs w:val="32"/>
        </w:rPr>
        <w:t>预算表</w:t>
      </w:r>
    </w:p>
    <w:p>
      <w:pPr>
        <w:pStyle w:val="5"/>
        <w:rPr>
          <w:rFonts w:hint="eastAsia" w:ascii="仿宋" w:hAnsi="仿宋" w:eastAsia="仿宋" w:cs="仿宋"/>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详见附表）</w:t>
      </w:r>
    </w:p>
    <w:p>
      <w:pPr>
        <w:pStyle w:val="5"/>
        <w:numPr>
          <w:ilvl w:val="0"/>
          <w:numId w:val="0"/>
        </w:numPr>
        <w:rPr>
          <w:rFonts w:hint="eastAsia"/>
          <w:lang w:eastAsia="zh-CN"/>
        </w:rPr>
      </w:pPr>
    </w:p>
    <w:p>
      <w:pPr>
        <w:pStyle w:val="5"/>
        <w:rPr>
          <w:rFonts w:hint="eastAsia"/>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宋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eastAsia="zh-CN"/>
        </w:rPr>
        <w:t>三</w:t>
      </w:r>
      <w:r>
        <w:rPr>
          <w:rFonts w:hint="eastAsia" w:ascii="黑体" w:hAnsi="宋体" w:eastAsia="黑体" w:cs="黑体"/>
          <w:sz w:val="32"/>
          <w:szCs w:val="32"/>
        </w:rPr>
        <w:t>部分</w:t>
      </w:r>
      <w:r>
        <w:rPr>
          <w:rFonts w:hint="eastAsia" w:ascii="黑体" w:hAnsi="宋体" w:eastAsia="黑体" w:cs="黑体"/>
          <w:sz w:val="32"/>
          <w:szCs w:val="32"/>
          <w:lang w:val="en-US" w:eastAsia="zh-CN"/>
        </w:rPr>
        <w:t xml:space="preserve">  景德镇市退役军人事务局2023年单位</w:t>
      </w:r>
      <w:r>
        <w:rPr>
          <w:rFonts w:hint="eastAsia" w:ascii="黑体" w:hAnsi="宋体" w:eastAsia="黑体" w:cs="黑体"/>
          <w:sz w:val="32"/>
          <w:szCs w:val="32"/>
        </w:rPr>
        <w:t>预算情况说明</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2023年单位</w:t>
      </w:r>
      <w:r>
        <w:rPr>
          <w:rFonts w:hint="eastAsia" w:ascii="仿宋_GB2312" w:hAnsi="宋体" w:eastAsia="仿宋_GB2312" w:cs="仿宋_GB2312"/>
          <w:b/>
          <w:bCs/>
          <w:sz w:val="32"/>
          <w:szCs w:val="32"/>
        </w:rPr>
        <w:t>预算收支情况说明</w:t>
      </w:r>
    </w:p>
    <w:p>
      <w:pPr>
        <w:keepNext w:val="0"/>
        <w:keepLines w:val="0"/>
        <w:pageBreakBefore w:val="0"/>
        <w:kinsoku/>
        <w:wordWrap/>
        <w:overflowPunct/>
        <w:topLinePunct w:val="0"/>
        <w:autoSpaceDE/>
        <w:autoSpaceDN/>
        <w:bidi w:val="0"/>
        <w:adjustRightInd/>
        <w:snapToGrid/>
        <w:spacing w:line="240" w:lineRule="auto"/>
        <w:ind w:firstLine="482" w:firstLineChars="15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收入预算</w:t>
      </w:r>
      <w:r>
        <w:rPr>
          <w:rFonts w:hint="eastAsia" w:ascii="仿宋_GB2312" w:hAnsi="宋体" w:eastAsia="仿宋_GB2312" w:cs="仿宋_GB2312"/>
          <w:b/>
          <w:bCs/>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景德镇市退役军人事务局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收入预算总额</w:t>
      </w:r>
      <w:r>
        <w:rPr>
          <w:rFonts w:hint="eastAsia" w:ascii="仿宋_GB2312" w:hAnsi="仿宋_GB2312" w:eastAsia="仿宋_GB2312" w:cs="仿宋_GB2312"/>
          <w:sz w:val="32"/>
          <w:szCs w:val="32"/>
          <w:lang w:val="en-US" w:eastAsia="zh-CN"/>
        </w:rPr>
        <w:t>609.72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预算相比增加64.86万元，其中：财政拨款收入609.72万元，较上年预算安排增加64.86万元，事业收入0万元，较上年预算安排增加（减少）0万元；附属单位上缴收入0万元，较上年预算安排增加（减少）0万元，上级补助收入0万元较上年预算安排增加（减少）0万元，其他收入0万元，较上年预算安排增加（减少）0万元；上年结转（结余）0万元，较上年预算安排增加（减少）0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482" w:firstLineChars="15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val="0"/>
          <w:bCs w:val="0"/>
          <w:sz w:val="32"/>
          <w:szCs w:val="32"/>
          <w:lang w:val="en-US" w:eastAsia="zh-CN"/>
        </w:rPr>
        <w:t>景德镇市退役军人事务局单位</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支出预算总额</w:t>
      </w:r>
      <w:r>
        <w:rPr>
          <w:rFonts w:hint="eastAsia" w:ascii="仿宋_GB2312" w:hAnsi="仿宋_GB2312" w:eastAsia="仿宋_GB2312" w:cs="仿宋_GB2312"/>
          <w:sz w:val="32"/>
          <w:szCs w:val="32"/>
          <w:lang w:val="en-US" w:eastAsia="zh-CN"/>
        </w:rPr>
        <w:t>609.72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与上年预算相比增加64.86万元，原因是人员经费新增绩效工资。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按支出项目类别划分:基本支出</w:t>
      </w:r>
      <w:r>
        <w:rPr>
          <w:rFonts w:hint="eastAsia" w:ascii="仿宋_GB2312" w:hAnsi="仿宋_GB2312" w:eastAsia="仿宋_GB2312" w:cs="仿宋_GB2312"/>
          <w:sz w:val="32"/>
          <w:szCs w:val="32"/>
          <w:lang w:val="en-US" w:eastAsia="zh-CN"/>
        </w:rPr>
        <w:t>281.72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较上年预算安排增加73.28万元，其中：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252.29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26.43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对个人和家庭的补助支出0万元，</w:t>
      </w:r>
      <w:r>
        <w:rPr>
          <w:rFonts w:hint="eastAsia" w:ascii="仿宋_GB2312" w:hAnsi="仿宋_GB2312" w:eastAsia="仿宋_GB2312" w:cs="仿宋_GB2312"/>
          <w:sz w:val="32"/>
          <w:szCs w:val="32"/>
        </w:rPr>
        <w:t>其他资本性支出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；项目支出328万元，较上年减少8.42万元，包括</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对个人和家庭的补助支出154万元，债务利息及费用支出0万元，资本性支出（基本建设）0万元，资本性支出0万元，对企业补助0万元，其他支出0万元。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功能项目科目划分：一般公共服务支出0万元，较上年增加0万元，国防支出0万元，较上年预算安排增加（减少）0万元，公共安全支出0万元，较上年预算安排增加（减少）0万元，教育支出0万元，较上年预算安排增加（减少）0万元，科学技术支出0万元较上年预算安排增加（减少）0万元，文化旅游体育与传媒支出0万元，较上年预算安排增加（减少）0万元，，</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578.87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较上年增加64.92万元，</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10.85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较上年预算安排增加1.08万元，节能环保支出0万元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减少）0万元，城乡社区支出0万元，较上年预算安排增加（减少）0万元，农林水支出0万元，较上年预算安排增加（减少）0万元，交通运输支出0万元，较上年预算安排增加（减少）0万元，资源勘探工业信息等支出0万元，较上年预算安排增加（减少）0万元，商业服务业等支出0万元，较上年预算安排增加（减少）0万元，金融支出0万元，较上年预算安排增加（减少）0万元，自然资源海洋气象等支出0万元，较上年预算安排增加（减少）0万元；</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减少1.5万元，粮油物资储备支出0万元，较上年预算安排增加（减少）0万元，灾害防治及应急管理支出0万元，较上年预算安排增加（减少）0万元，其他支出0万元，较上年预算安排增加（减少）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hAnsi="仿宋_GB2312" w:eastAsia="仿宋_GB2312" w:cs="仿宋_GB2312"/>
          <w:sz w:val="32"/>
          <w:szCs w:val="32"/>
          <w:lang w:val="en-US" w:eastAsia="zh-CN"/>
        </w:rPr>
        <w:t>按支出经济分类划分：</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252.29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较上年预算安排增加68.06万元，</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26.43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较上年预算安排减少3.2万元，对个人和家庭的补助支出0万元，债务利息费用支出0万元，较上年预算安排增加（减少）0万元，资本性支出出（基本建设）0万元，较上年预算安排增加（减少）0万元，</w:t>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较上年增加0万元，对企业补助0万元，较上年预算安排增加（减少）0万元，对社会保险基金补助0万元，较上年预算安排增加（减少）0万元，其他支出0万元，较上年预算安排增加（减少）0万元。</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b/>
          <w:color w:val="000000"/>
          <w:sz w:val="32"/>
          <w:szCs w:val="32"/>
        </w:rPr>
      </w:pPr>
      <w:r>
        <w:rPr>
          <w:rFonts w:hint="eastAsia" w:ascii="仿宋_GB2312" w:hAnsi="宋体" w:eastAsia="仿宋_GB2312" w:cs="仿宋_GB2312"/>
          <w:b/>
          <w:bCs/>
          <w:sz w:val="32"/>
          <w:szCs w:val="32"/>
        </w:rPr>
        <w:t>（三）</w:t>
      </w:r>
      <w:r>
        <w:rPr>
          <w:rFonts w:hint="eastAsia" w:ascii="仿宋_GB2312" w:eastAsia="仿宋_GB2312"/>
          <w:b/>
          <w:color w:val="000000"/>
          <w:sz w:val="32"/>
          <w:szCs w:val="32"/>
        </w:rPr>
        <w:t>财政拨款支出情况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景德镇市退役军人事务局单位</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财政拨款支出预算为</w:t>
      </w:r>
      <w:r>
        <w:rPr>
          <w:rFonts w:hint="eastAsia" w:ascii="仿宋_GB2312" w:hAnsi="仿宋_GB2312" w:eastAsia="仿宋_GB2312" w:cs="仿宋_GB2312"/>
          <w:sz w:val="32"/>
          <w:szCs w:val="32"/>
          <w:lang w:val="en-US" w:eastAsia="zh-CN"/>
        </w:rPr>
        <w:t>609.72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与上年预算相比增加64.86万元。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按支出功能科目划分：一般公共服务支出0万元，国防支出0万元，公共安全支出0万元，教育支出0万元，科学技术支出0万元，文化旅游体育与传媒支出0万元，，</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578.87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10.85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节能环保支出0万元，城乡社区支出0万元，农林水支出0万元，交通运输支出0万元，资源勘探工业信息等支出0万元，商业服务业等支出0万元，金融支出0万元，自然资源海洋气象等支出0万元，</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粮油物资储备支出0万元，灾害防治及应急管理支出0万元，其他支出0万元。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按支出项目类别划分：基本支出281.72万元，较上年增加73.28万元，其中：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252.29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26.43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对个人和家庭的补助支出0万元，</w:t>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项目支出328万元，</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对个人和家庭的补助支出154万元，债务利息及费用支出0万元，资本性支出（基本建设）0万元，资本性支出0万元，对企业补助0万元，其他支出0万元。</w:t>
      </w:r>
    </w:p>
    <w:p>
      <w:pPr>
        <w:pStyle w:val="5"/>
        <w:numPr>
          <w:ilvl w:val="0"/>
          <w:numId w:val="0"/>
        </w:numPr>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（四）政府性基金情况</w:t>
      </w:r>
    </w:p>
    <w:p>
      <w:pPr>
        <w:pStyle w:val="5"/>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本单位没有使用政府性基金预算拨款安排的支出。</w:t>
      </w:r>
    </w:p>
    <w:p>
      <w:pPr>
        <w:pStyle w:val="5"/>
        <w:numPr>
          <w:ilvl w:val="0"/>
          <w:numId w:val="2"/>
        </w:numPr>
        <w:ind w:left="0" w:leftChars="0" w:firstLine="640" w:firstLineChars="0"/>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国有资本经营情况</w:t>
      </w:r>
    </w:p>
    <w:p>
      <w:pPr>
        <w:pStyle w:val="5"/>
        <w:numPr>
          <w:ilvl w:val="0"/>
          <w:numId w:val="0"/>
        </w:numPr>
        <w:ind w:firstLine="960" w:firstLineChars="300"/>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本单位没有使用国有资本经营预算拨款安排的支出</w:t>
      </w:r>
    </w:p>
    <w:p>
      <w:pPr>
        <w:pStyle w:val="5"/>
        <w:numPr>
          <w:ilvl w:val="0"/>
          <w:numId w:val="2"/>
        </w:numPr>
        <w:ind w:left="0" w:leftChars="0" w:firstLine="640" w:firstLineChars="0"/>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机关运行经费等重要事项的说明</w:t>
      </w:r>
    </w:p>
    <w:p>
      <w:pPr>
        <w:pStyle w:val="5"/>
        <w:numPr>
          <w:ilvl w:val="0"/>
          <w:numId w:val="0"/>
        </w:numPr>
        <w:ind w:left="0" w:leftChars="0" w:firstLine="640" w:firstLineChars="200"/>
        <w:rPr>
          <w:rFonts w:hint="default"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本单位机关运行费用预算26.43万元，比去年预算减少3.2万元，减少开支，压缩成本。</w:t>
      </w:r>
    </w:p>
    <w:p>
      <w:pPr>
        <w:pStyle w:val="5"/>
        <w:numPr>
          <w:ilvl w:val="0"/>
          <w:numId w:val="2"/>
        </w:numPr>
        <w:ind w:left="0" w:leftChars="0" w:firstLine="640" w:firstLineChars="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ascii="Adobe 仿宋 Std R" w:hAnsi="Adobe 仿宋 Std R" w:eastAsia="Adobe 仿宋 Std R"/>
          <w:sz w:val="32"/>
          <w:szCs w:val="32"/>
        </w:rPr>
      </w:pPr>
      <w:r>
        <w:rPr>
          <w:rFonts w:hint="eastAsia" w:ascii="仿宋_GB2312" w:hAnsi="仿宋_GB2312" w:eastAsia="仿宋_GB2312" w:cs="仿宋_GB2312"/>
          <w:sz w:val="32"/>
          <w:szCs w:val="32"/>
          <w:lang w:val="en-US" w:eastAsia="zh-CN"/>
        </w:rPr>
        <w:t>景德镇市退役军人事务局单位</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政府采购预算为14万元，其中</w:t>
      </w:r>
      <w:r>
        <w:rPr>
          <w:rFonts w:hint="eastAsia" w:ascii="Adobe 仿宋 Std R" w:hAnsi="Adobe 仿宋 Std R" w:eastAsia="Adobe 仿宋 Std R"/>
          <w:sz w:val="32"/>
          <w:szCs w:val="32"/>
        </w:rPr>
        <w:t>政府采购货物预算</w:t>
      </w:r>
      <w:r>
        <w:rPr>
          <w:rFonts w:hint="eastAsia" w:ascii="仿宋" w:hAnsi="仿宋" w:eastAsia="仿宋"/>
          <w:kern w:val="0"/>
          <w:sz w:val="32"/>
          <w:szCs w:val="32"/>
          <w:lang w:val="en-US" w:eastAsia="zh-CN"/>
        </w:rPr>
        <w:t>14</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hint="eastAsia" w:ascii="仿宋" w:hAnsi="仿宋" w:eastAsia="仿宋"/>
          <w:kern w:val="0"/>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仿宋" w:hAnsi="仿宋" w:eastAsia="仿宋"/>
          <w:kern w:val="0"/>
          <w:sz w:val="32"/>
          <w:szCs w:val="32"/>
          <w:lang w:val="en-US" w:eastAsia="zh-CN"/>
        </w:rPr>
        <w:t>0</w:t>
      </w:r>
      <w:r>
        <w:rPr>
          <w:rFonts w:hint="eastAsia" w:ascii="Adobe 仿宋 Std R" w:hAnsi="Adobe 仿宋 Std R" w:eastAsia="Adobe 仿宋 Std R"/>
          <w:sz w:val="32"/>
          <w:szCs w:val="32"/>
        </w:rPr>
        <w:t>万元。</w:t>
      </w:r>
    </w:p>
    <w:p>
      <w:pPr>
        <w:keepNext w:val="0"/>
        <w:keepLines w:val="0"/>
        <w:pageBreakBefore w:val="0"/>
        <w:tabs>
          <w:tab w:val="left" w:pos="1162"/>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与上年预算相比增加11万元，原因是新增印刷支出采购预算。</w:t>
      </w:r>
    </w:p>
    <w:p>
      <w:pPr>
        <w:pStyle w:val="5"/>
        <w:numPr>
          <w:ilvl w:val="0"/>
          <w:numId w:val="2"/>
        </w:numPr>
        <w:ind w:left="0" w:leftChars="0" w:firstLine="64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国有资产占有使用情况</w:t>
      </w:r>
    </w:p>
    <w:p>
      <w:pPr>
        <w:pStyle w:val="5"/>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截止2023年7月31日，部门共有车辆0辆。</w:t>
      </w:r>
    </w:p>
    <w:p>
      <w:pPr>
        <w:widowControl/>
        <w:numPr>
          <w:ilvl w:val="0"/>
          <w:numId w:val="0"/>
        </w:numPr>
        <w:spacing w:line="600" w:lineRule="exact"/>
        <w:ind w:firstLine="643" w:firstLineChars="200"/>
        <w:jc w:val="left"/>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sz w:val="32"/>
          <w:szCs w:val="32"/>
          <w:lang w:val="en-US" w:eastAsia="zh-CN"/>
        </w:rPr>
        <w:t>（九）随军家属安置经费</w:t>
      </w:r>
    </w:p>
    <w:p>
      <w:pPr>
        <w:keepNext w:val="0"/>
        <w:keepLines w:val="0"/>
        <w:pageBreakBefore w:val="0"/>
        <w:tabs>
          <w:tab w:val="left" w:pos="1113"/>
        </w:tabs>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w:t>
      </w:r>
    </w:p>
    <w:p>
      <w:pPr>
        <w:keepNext w:val="0"/>
        <w:keepLines w:val="0"/>
        <w:pageBreakBefore w:val="0"/>
        <w:tabs>
          <w:tab w:val="left" w:pos="1113"/>
        </w:tabs>
        <w:kinsoku/>
        <w:wordWrap/>
        <w:overflowPunct/>
        <w:topLinePunct w:val="0"/>
        <w:autoSpaceDE/>
        <w:autoSpaceDN/>
        <w:bidi w:val="0"/>
        <w:adjustRightInd/>
        <w:snapToGrid/>
        <w:spacing w:line="240" w:lineRule="auto"/>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驻市区部队军人的随军家属，未就业且无固定收入来源的，市区部队随军家属未就业生活补助由市退役军人事务局负责发放，按不低于本市上年度城镇非私营单位在岗职工平均工资的12％发放生活补助。</w:t>
      </w:r>
    </w:p>
    <w:p>
      <w:pPr>
        <w:pStyle w:val="5"/>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2）立项依据</w:t>
      </w:r>
    </w:p>
    <w:p>
      <w:pPr>
        <w:pStyle w:val="5"/>
        <w:numPr>
          <w:ilvl w:val="0"/>
          <w:numId w:val="0"/>
        </w:num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依据景德镇市人民政府、景德镇军分区《关于进一步做好驻市部队随军家属就业安置工作的实施意见》（景府办发〔2014〕15号）文件</w:t>
      </w:r>
    </w:p>
    <w:p>
      <w:pPr>
        <w:pStyle w:val="5"/>
        <w:numPr>
          <w:ilvl w:val="0"/>
          <w:numId w:val="0"/>
        </w:numPr>
        <w:ind w:left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3）实施主体</w:t>
      </w:r>
    </w:p>
    <w:p>
      <w:pPr>
        <w:pStyle w:val="5"/>
        <w:numPr>
          <w:ilvl w:val="0"/>
          <w:numId w:val="0"/>
        </w:numPr>
        <w:ind w:left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景德镇市退役军人事务局</w:t>
      </w:r>
    </w:p>
    <w:p>
      <w:pPr>
        <w:pStyle w:val="5"/>
        <w:numPr>
          <w:ilvl w:val="0"/>
          <w:numId w:val="0"/>
        </w:numPr>
        <w:ind w:left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4）实施方案</w:t>
      </w:r>
    </w:p>
    <w:p>
      <w:pPr>
        <w:pStyle w:val="5"/>
        <w:numPr>
          <w:ilvl w:val="0"/>
          <w:numId w:val="0"/>
        </w:numPr>
        <w:ind w:left="0" w:leftChars="0" w:firstLine="838" w:firstLineChars="26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驻市区部队军人的随军家属，未就业且无固定收入来源的，依据景德镇市人民政府、景德镇军分区《关于进一步做好驻市部队随军家属就业安置工作的实施意见》（景府办发〔2014〕15号）文件规定：市区部队随军家属未就业生活补助由市退役军人事务局负责发放，按不低于本市上年度城镇非私营单位在岗职工平均工资的12％发放生活补助。</w:t>
      </w:r>
    </w:p>
    <w:p>
      <w:pPr>
        <w:pStyle w:val="5"/>
        <w:numPr>
          <w:ilvl w:val="0"/>
          <w:numId w:val="0"/>
        </w:numPr>
        <w:ind w:left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5）实施周期</w:t>
      </w:r>
    </w:p>
    <w:p>
      <w:pPr>
        <w:pStyle w:val="5"/>
        <w:numPr>
          <w:ilvl w:val="0"/>
          <w:numId w:val="0"/>
        </w:numPr>
        <w:ind w:leftChars="30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p>
    <w:p>
      <w:pPr>
        <w:pStyle w:val="5"/>
        <w:numPr>
          <w:ilvl w:val="0"/>
          <w:numId w:val="0"/>
        </w:numPr>
        <w:ind w:left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6）年度预算安排</w:t>
      </w:r>
    </w:p>
    <w:p>
      <w:pPr>
        <w:pStyle w:val="5"/>
        <w:numPr>
          <w:ilvl w:val="0"/>
          <w:numId w:val="0"/>
        </w:numPr>
        <w:ind w:left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70万元</w:t>
      </w:r>
    </w:p>
    <w:p>
      <w:pPr>
        <w:keepNext w:val="0"/>
        <w:keepLines w:val="0"/>
        <w:pageBreakBefore w:val="0"/>
        <w:tabs>
          <w:tab w:val="left" w:pos="1113"/>
        </w:tabs>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w:t>
      </w:r>
      <w:r>
        <w:rPr>
          <w:rFonts w:hint="eastAsia" w:ascii="仿宋_GB2312" w:hAnsi="宋体" w:eastAsia="仿宋_GB2312" w:cs="仿宋_GB2312"/>
          <w:b/>
          <w:bCs/>
          <w:sz w:val="32"/>
          <w:szCs w:val="32"/>
          <w:lang w:val="en-US" w:eastAsia="zh-CN"/>
        </w:rPr>
        <w:t>2023年</w:t>
      </w:r>
      <w:r>
        <w:rPr>
          <w:rFonts w:hint="eastAsia" w:ascii="仿宋_GB2312" w:hAnsi="宋体" w:eastAsia="仿宋_GB2312" w:cs="仿宋_GB2312"/>
          <w:b/>
          <w:bCs/>
          <w:sz w:val="32"/>
          <w:szCs w:val="32"/>
        </w:rPr>
        <w:t>“三公”经费预算情况说明</w:t>
      </w:r>
    </w:p>
    <w:p>
      <w:pPr>
        <w:widowControl/>
        <w:numPr>
          <w:ilvl w:val="0"/>
          <w:numId w:val="0"/>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2023年景德镇市退役军人事务局（本级）“三公”经费年初预算安排3万元。其中：</w:t>
      </w:r>
    </w:p>
    <w:p>
      <w:pPr>
        <w:widowControl/>
        <w:numPr>
          <w:ilvl w:val="0"/>
          <w:numId w:val="0"/>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因公出国（境）0万元，比上年增（减）0万元；</w:t>
      </w:r>
    </w:p>
    <w:p>
      <w:pPr>
        <w:widowControl/>
        <w:numPr>
          <w:ilvl w:val="0"/>
          <w:numId w:val="0"/>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公务接待费3万元，比上年增（减）0万元，与上年比较无增减变化；</w:t>
      </w:r>
    </w:p>
    <w:p>
      <w:pPr>
        <w:widowControl/>
        <w:numPr>
          <w:ilvl w:val="0"/>
          <w:numId w:val="0"/>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公务用车运行维护费0万元， 比上年增（减）0万元；</w:t>
      </w:r>
    </w:p>
    <w:p>
      <w:pPr>
        <w:widowControl/>
        <w:numPr>
          <w:ilvl w:val="0"/>
          <w:numId w:val="0"/>
        </w:numPr>
        <w:spacing w:line="600" w:lineRule="exact"/>
        <w:ind w:firstLine="640" w:firstLineChars="200"/>
        <w:jc w:val="left"/>
        <w:rPr>
          <w:rFonts w:hint="eastAsia" w:ascii="黑体" w:hAnsi="宋体" w:eastAsia="黑体" w:cs="黑体"/>
          <w:sz w:val="32"/>
          <w:szCs w:val="32"/>
        </w:rPr>
      </w:pPr>
      <w:r>
        <w:rPr>
          <w:rFonts w:hint="eastAsia" w:ascii="仿宋_GB2312" w:hAnsi="仿宋_GB2312" w:eastAsia="仿宋_GB2312" w:cs="仿宋_GB2312"/>
          <w:sz w:val="32"/>
          <w:szCs w:val="32"/>
          <w:lang w:val="en-US" w:eastAsia="zh-CN"/>
        </w:rPr>
        <w:t xml:space="preserve">公务用车购置0万元，比上年增（减）0万元。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b/>
          <w:bCs/>
          <w:color w:val="000000"/>
          <w:sz w:val="32"/>
          <w:szCs w:val="32"/>
        </w:rPr>
      </w:pPr>
      <w:r>
        <w:rPr>
          <w:rFonts w:hint="eastAsia" w:ascii="仿宋_GB2312" w:eastAsia="仿宋_GB2312"/>
          <w:b/>
          <w:bCs/>
          <w:color w:val="000000"/>
          <w:sz w:val="32"/>
          <w:szCs w:val="32"/>
        </w:rPr>
        <w:t>一、收入科目</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各部门结合实际进行解释。</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（一）财政拨款：指</w:t>
      </w:r>
      <w:r>
        <w:rPr>
          <w:rFonts w:hint="eastAsia" w:ascii="仿宋_GB2312" w:eastAsia="仿宋_GB2312"/>
          <w:color w:val="000000"/>
          <w:sz w:val="32"/>
          <w:szCs w:val="32"/>
          <w:lang w:eastAsia="zh-CN"/>
        </w:rPr>
        <w:t>市级</w:t>
      </w:r>
      <w:r>
        <w:rPr>
          <w:rFonts w:hint="eastAsia" w:ascii="仿宋_GB2312" w:eastAsia="仿宋_GB2312"/>
          <w:color w:val="000000"/>
          <w:sz w:val="32"/>
          <w:szCs w:val="32"/>
        </w:rPr>
        <w:t>财政当年拨付的资金。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二</w:t>
      </w:r>
      <w:r>
        <w:rPr>
          <w:rFonts w:hint="eastAsia" w:ascii="仿宋_GB2312" w:eastAsia="仿宋_GB2312"/>
          <w:color w:val="000000"/>
          <w:sz w:val="32"/>
          <w:szCs w:val="32"/>
        </w:rPr>
        <w:t>）上年结转和结余：填列</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b/>
          <w:bCs/>
          <w:color w:val="000000"/>
          <w:sz w:val="32"/>
          <w:szCs w:val="32"/>
        </w:rPr>
      </w:pPr>
      <w:r>
        <w:rPr>
          <w:rFonts w:hint="eastAsia" w:ascii="仿宋_GB2312" w:eastAsia="仿宋_GB2312"/>
          <w:b/>
          <w:bCs/>
          <w:color w:val="000000"/>
          <w:sz w:val="32"/>
          <w:szCs w:val="32"/>
        </w:rPr>
        <w:t>二、支出科目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行政单位离退休</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反映行政单位（包括实行公务员管理的事业单位）开支的离退休经费。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事业单位离退休</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反映事业单位开支的离退休经费。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机关事业单位基本养老保险缴费支出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反映机关事业单位实施养老保险制度由单位缴纳的基本养老保险费支出。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lang w:eastAsia="zh-CN"/>
        </w:rPr>
        <w:t>社会保障和就业支出（类）抚恤（款）</w:t>
      </w:r>
      <w:r>
        <w:rPr>
          <w:rFonts w:hint="eastAsia" w:ascii="仿宋" w:hAnsi="仿宋" w:eastAsia="仿宋" w:cs="仿宋"/>
          <w:color w:val="000000"/>
          <w:kern w:val="0"/>
          <w:sz w:val="32"/>
          <w:szCs w:val="32"/>
          <w:lang w:val="en-US" w:eastAsia="zh-CN"/>
        </w:rPr>
        <w:t>其他优抚支出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反映春节及八一走访慰问项目支出。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lang w:eastAsia="zh-CN"/>
        </w:rPr>
        <w:t xml:space="preserve">社会保障和就业支出（类）退役安置（款） </w:t>
      </w:r>
      <w:r>
        <w:rPr>
          <w:rFonts w:hint="eastAsia" w:ascii="仿宋" w:hAnsi="仿宋" w:eastAsia="仿宋" w:cs="仿宋"/>
          <w:color w:val="000000"/>
          <w:kern w:val="0"/>
          <w:sz w:val="32"/>
          <w:szCs w:val="32"/>
          <w:lang w:val="en-US" w:eastAsia="zh-CN"/>
        </w:rPr>
        <w:t>退役士兵安置</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对符合条件的退役士兵、转业士官的安置支出。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（六）</w:t>
      </w:r>
      <w:r>
        <w:rPr>
          <w:rFonts w:hint="eastAsia" w:ascii="仿宋" w:hAnsi="仿宋" w:eastAsia="仿宋" w:cs="仿宋"/>
          <w:color w:val="000000"/>
          <w:kern w:val="0"/>
          <w:sz w:val="32"/>
          <w:szCs w:val="32"/>
          <w:lang w:eastAsia="zh-CN"/>
        </w:rPr>
        <w:t>社会保障和就业支出（类）退役安置（款） 军队移交政府离退休干部管理机构（项）：反应民政部门管理的军休所的人员经费、公用经费以及管理机构用法建设经费等支出。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七</w:t>
      </w:r>
      <w:r>
        <w:rPr>
          <w:rFonts w:hint="eastAsia" w:ascii="仿宋" w:hAnsi="仿宋" w:eastAsia="仿宋" w:cs="仿宋"/>
          <w:color w:val="000000"/>
          <w:kern w:val="0"/>
          <w:sz w:val="32"/>
          <w:szCs w:val="32"/>
          <w:lang w:eastAsia="zh-CN"/>
        </w:rPr>
        <w:t>）社会保障和就业支出（类）退役安置（款） 军队</w:t>
      </w:r>
      <w:r>
        <w:rPr>
          <w:rFonts w:hint="eastAsia" w:ascii="仿宋" w:hAnsi="仿宋" w:eastAsia="仿宋" w:cs="仿宋"/>
          <w:color w:val="000000"/>
          <w:kern w:val="0"/>
          <w:sz w:val="32"/>
          <w:szCs w:val="32"/>
          <w:lang w:val="en-US" w:eastAsia="zh-CN"/>
        </w:rPr>
        <w:t>转业干部安置</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反映军转干部安置、人员经费、自主择业退役金等方面的支出。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（八）</w:t>
      </w:r>
      <w:r>
        <w:rPr>
          <w:rFonts w:hint="eastAsia" w:ascii="仿宋" w:hAnsi="仿宋" w:eastAsia="仿宋" w:cs="仿宋"/>
          <w:color w:val="000000"/>
          <w:kern w:val="0"/>
          <w:sz w:val="32"/>
          <w:szCs w:val="32"/>
          <w:lang w:eastAsia="zh-CN"/>
        </w:rPr>
        <w:t xml:space="preserve">社会保障和就业支出（类）退役安置（款） </w:t>
      </w:r>
      <w:r>
        <w:rPr>
          <w:rFonts w:hint="eastAsia" w:ascii="仿宋" w:hAnsi="仿宋" w:eastAsia="仿宋" w:cs="仿宋"/>
          <w:color w:val="000000"/>
          <w:kern w:val="0"/>
          <w:sz w:val="32"/>
          <w:szCs w:val="32"/>
          <w:lang w:val="en-US" w:eastAsia="zh-CN"/>
        </w:rPr>
        <w:t>其他退役安置支出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反映上述项目以外的用于退役安置方面的支出。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九</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行政运行</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反映行政单位的基本支出。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拥军优属</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反映拥军优属活动的支出。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十一</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部队供应</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反映军供站等用于保障军队运输和饮食供应的支出。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十二）</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其他退役军人事务管理支出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反映除上述项目以外的其他用于退役军人事务管理方面的支出。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十三）</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其他社会保障和就业支出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其他社会保障和就业支出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反映其他用于其他社会保障和就业支出方面的支出。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（十四）卫生健康支出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行政单位医疗</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反映财政部门安排的行政单位（包括实行公务员管理的事业单位）基本医疗保险缴费经费。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（十五）卫生健康支出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事业单位医疗</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反映财政部门安排的事业单位基本医疗保险缴费经费。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（十六）卫生健康支出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公务员医疗补助</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反映财政部门安排的公务员医疗补助经费。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（十七）卫生健康支出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其他行政事业单位医疗支出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反映除上述项目以外的其他用于行政事业单位医疗方面的支出。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十八</w:t>
      </w:r>
      <w:r>
        <w:rPr>
          <w:rFonts w:hint="eastAsia" w:ascii="仿宋" w:hAnsi="仿宋" w:eastAsia="仿宋" w:cs="仿宋"/>
          <w:color w:val="000000"/>
          <w:kern w:val="0"/>
          <w:sz w:val="32"/>
          <w:szCs w:val="32"/>
          <w:lang w:eastAsia="zh-CN"/>
        </w:rPr>
        <w:t>）住房保障支出（类） 住房改革支出（款）住房公积金（项）：住房公积金的支出。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5"/>
        <w:rPr>
          <w:rFonts w:hint="eastAsia"/>
          <w:lang w:val="en-US" w:eastAsia="zh-CN"/>
        </w:rPr>
      </w:pPr>
    </w:p>
    <w:p>
      <w:pPr>
        <w:ind w:firstLine="420" w:firstLineChars="200"/>
      </w:pPr>
      <w:r>
        <w:drawing>
          <wp:inline distT="0" distB="0" distL="114300" distR="114300">
            <wp:extent cx="8977630" cy="4518660"/>
            <wp:effectExtent l="0" t="0" r="1397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977630" cy="4518660"/>
                    </a:xfrm>
                    <a:prstGeom prst="rect">
                      <a:avLst/>
                    </a:prstGeom>
                    <a:noFill/>
                    <a:ln>
                      <a:noFill/>
                    </a:ln>
                  </pic:spPr>
                </pic:pic>
              </a:graphicData>
            </a:graphic>
          </wp:inline>
        </w:drawing>
      </w:r>
      <w:r>
        <w:drawing>
          <wp:inline distT="0" distB="0" distL="114300" distR="114300">
            <wp:extent cx="9436100" cy="3477895"/>
            <wp:effectExtent l="0" t="0" r="1270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436100" cy="3477895"/>
                    </a:xfrm>
                    <a:prstGeom prst="rect">
                      <a:avLst/>
                    </a:prstGeom>
                    <a:noFill/>
                    <a:ln>
                      <a:noFill/>
                    </a:ln>
                  </pic:spPr>
                </pic:pic>
              </a:graphicData>
            </a:graphic>
          </wp:inline>
        </w:drawing>
      </w:r>
    </w:p>
    <w:p>
      <w:pPr>
        <w:pStyle w:val="5"/>
      </w:pPr>
    </w:p>
    <w:p>
      <w:pPr>
        <w:pStyle w:val="5"/>
      </w:pPr>
    </w:p>
    <w:p>
      <w:pPr>
        <w:pStyle w:val="5"/>
      </w:pPr>
    </w:p>
    <w:p>
      <w:pPr>
        <w:pStyle w:val="5"/>
      </w:pPr>
    </w:p>
    <w:p>
      <w:pPr>
        <w:pStyle w:val="5"/>
      </w:pPr>
    </w:p>
    <w:p>
      <w:pPr>
        <w:pStyle w:val="5"/>
      </w:pPr>
    </w:p>
    <w:p>
      <w:pPr>
        <w:pStyle w:val="5"/>
      </w:pPr>
    </w:p>
    <w:p>
      <w:pPr>
        <w:pStyle w:val="5"/>
      </w:pPr>
    </w:p>
    <w:p>
      <w:pPr>
        <w:pStyle w:val="5"/>
      </w:pPr>
      <w:r>
        <w:drawing>
          <wp:inline distT="0" distB="0" distL="114300" distR="114300">
            <wp:extent cx="8183880" cy="462534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8183880" cy="4625340"/>
                    </a:xfrm>
                    <a:prstGeom prst="rect">
                      <a:avLst/>
                    </a:prstGeom>
                    <a:noFill/>
                    <a:ln>
                      <a:noFill/>
                    </a:ln>
                  </pic:spPr>
                </pic:pic>
              </a:graphicData>
            </a:graphic>
          </wp:inline>
        </w:drawing>
      </w:r>
    </w:p>
    <w:p>
      <w:pPr>
        <w:pStyle w:val="5"/>
      </w:pPr>
    </w:p>
    <w:p>
      <w:pPr>
        <w:pStyle w:val="5"/>
      </w:pPr>
    </w:p>
    <w:p>
      <w:pPr>
        <w:pStyle w:val="5"/>
      </w:pPr>
    </w:p>
    <w:p>
      <w:pPr>
        <w:pStyle w:val="5"/>
      </w:pPr>
      <w:r>
        <w:drawing>
          <wp:inline distT="0" distB="0" distL="114300" distR="114300">
            <wp:extent cx="8863330" cy="2444750"/>
            <wp:effectExtent l="0" t="0" r="635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8863330" cy="2444750"/>
                    </a:xfrm>
                    <a:prstGeom prst="rect">
                      <a:avLst/>
                    </a:prstGeom>
                    <a:noFill/>
                    <a:ln>
                      <a:noFill/>
                    </a:ln>
                  </pic:spPr>
                </pic:pic>
              </a:graphicData>
            </a:graphic>
          </wp:inline>
        </w:drawing>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r>
        <w:drawing>
          <wp:inline distT="0" distB="0" distL="114300" distR="114300">
            <wp:extent cx="8381365" cy="5065395"/>
            <wp:effectExtent l="0" t="0" r="63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8381365" cy="5065395"/>
                    </a:xfrm>
                    <a:prstGeom prst="rect">
                      <a:avLst/>
                    </a:prstGeom>
                    <a:noFill/>
                    <a:ln>
                      <a:noFill/>
                    </a:ln>
                  </pic:spPr>
                </pic:pic>
              </a:graphicData>
            </a:graphic>
          </wp:inline>
        </w:drawing>
      </w:r>
    </w:p>
    <w:p>
      <w:pPr>
        <w:pStyle w:val="5"/>
      </w:pPr>
      <w:r>
        <w:drawing>
          <wp:inline distT="0" distB="0" distL="114300" distR="114300">
            <wp:extent cx="8397240" cy="48310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8397240" cy="4831080"/>
                    </a:xfrm>
                    <a:prstGeom prst="rect">
                      <a:avLst/>
                    </a:prstGeom>
                    <a:noFill/>
                    <a:ln>
                      <a:noFill/>
                    </a:ln>
                  </pic:spPr>
                </pic:pic>
              </a:graphicData>
            </a:graphic>
          </wp:inline>
        </w:drawing>
      </w:r>
    </w:p>
    <w:p>
      <w:pPr>
        <w:pStyle w:val="5"/>
      </w:pPr>
    </w:p>
    <w:p>
      <w:pPr>
        <w:pStyle w:val="5"/>
      </w:pPr>
    </w:p>
    <w:p>
      <w:pPr>
        <w:pStyle w:val="5"/>
      </w:pPr>
      <w:r>
        <w:drawing>
          <wp:inline distT="0" distB="0" distL="114300" distR="114300">
            <wp:extent cx="8853805" cy="1761490"/>
            <wp:effectExtent l="0" t="0" r="63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8853805" cy="1761490"/>
                    </a:xfrm>
                    <a:prstGeom prst="rect">
                      <a:avLst/>
                    </a:prstGeom>
                    <a:noFill/>
                    <a:ln>
                      <a:noFill/>
                    </a:ln>
                  </pic:spPr>
                </pic:pic>
              </a:graphicData>
            </a:graphic>
          </wp:inline>
        </w:drawing>
      </w:r>
    </w:p>
    <w:p>
      <w:pPr>
        <w:pStyle w:val="5"/>
      </w:pPr>
    </w:p>
    <w:p>
      <w:pPr>
        <w:pStyle w:val="5"/>
      </w:pPr>
      <w:r>
        <w:drawing>
          <wp:inline distT="0" distB="0" distL="114300" distR="114300">
            <wp:extent cx="8860790" cy="227076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8860790" cy="2270760"/>
                    </a:xfrm>
                    <a:prstGeom prst="rect">
                      <a:avLst/>
                    </a:prstGeom>
                    <a:noFill/>
                    <a:ln>
                      <a:noFill/>
                    </a:ln>
                  </pic:spPr>
                </pic:pic>
              </a:graphicData>
            </a:graphic>
          </wp:inline>
        </w:drawing>
      </w:r>
    </w:p>
    <w:p>
      <w:pPr>
        <w:pStyle w:val="5"/>
      </w:pPr>
    </w:p>
    <w:p>
      <w:pPr>
        <w:pStyle w:val="5"/>
      </w:pPr>
    </w:p>
    <w:p>
      <w:pPr>
        <w:pStyle w:val="5"/>
      </w:pPr>
    </w:p>
    <w:p>
      <w:pPr>
        <w:pStyle w:val="5"/>
      </w:pPr>
      <w:r>
        <w:drawing>
          <wp:inline distT="0" distB="0" distL="114300" distR="114300">
            <wp:extent cx="8860790" cy="2418715"/>
            <wp:effectExtent l="0" t="0" r="889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8860790" cy="2418715"/>
                    </a:xfrm>
                    <a:prstGeom prst="rect">
                      <a:avLst/>
                    </a:prstGeom>
                    <a:noFill/>
                    <a:ln>
                      <a:noFill/>
                    </a:ln>
                  </pic:spPr>
                </pic:pic>
              </a:graphicData>
            </a:graphic>
          </wp:inline>
        </w:drawing>
      </w:r>
    </w:p>
    <w:p>
      <w:pPr>
        <w:pStyle w:val="5"/>
      </w:pPr>
    </w:p>
    <w:p>
      <w:pPr>
        <w:pStyle w:val="5"/>
      </w:pPr>
    </w:p>
    <w:p>
      <w:pPr>
        <w:pStyle w:val="5"/>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pPr>
        <w:pStyle w:val="5"/>
      </w:pPr>
      <w:r>
        <w:drawing>
          <wp:inline distT="0" distB="0" distL="114300" distR="114300">
            <wp:extent cx="5791200" cy="8155305"/>
            <wp:effectExtent l="0" t="0" r="0"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5791200" cy="8155305"/>
                    </a:xfrm>
                    <a:prstGeom prst="rect">
                      <a:avLst/>
                    </a:prstGeom>
                    <a:noFill/>
                    <a:ln>
                      <a:noFill/>
                    </a:ln>
                  </pic:spPr>
                </pic:pic>
              </a:graphicData>
            </a:graphic>
          </wp:inline>
        </w:drawing>
      </w:r>
    </w:p>
    <w:p>
      <w:pPr>
        <w:pStyle w:val="5"/>
      </w:pPr>
    </w:p>
    <w:p>
      <w:pPr>
        <w:rPr>
          <w:rFonts w:hint="default" w:ascii="仿宋" w:hAnsi="仿宋" w:eastAsia="仿宋" w:cs="仿宋"/>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38486"/>
    <w:multiLevelType w:val="singleLevel"/>
    <w:tmpl w:val="93E38486"/>
    <w:lvl w:ilvl="0" w:tentative="0">
      <w:start w:val="5"/>
      <w:numFmt w:val="chineseCounting"/>
      <w:suff w:val="nothing"/>
      <w:lvlText w:val="（%1）"/>
      <w:lvlJc w:val="left"/>
      <w:pPr>
        <w:ind w:left="620"/>
      </w:pPr>
      <w:rPr>
        <w:rFonts w:hint="eastAsia"/>
      </w:rPr>
    </w:lvl>
  </w:abstractNum>
  <w:abstractNum w:abstractNumId="1">
    <w:nsid w:val="45E2DD89"/>
    <w:multiLevelType w:val="singleLevel"/>
    <w:tmpl w:val="45E2DD89"/>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OGUyNTZjNzE3NDUyNmNlYTYyOTI5M2NmN2Y1ZmQifQ=="/>
  </w:docVars>
  <w:rsids>
    <w:rsidRoot w:val="19076E1D"/>
    <w:rsid w:val="000429DB"/>
    <w:rsid w:val="00066060"/>
    <w:rsid w:val="008110CC"/>
    <w:rsid w:val="00C04C9A"/>
    <w:rsid w:val="00CB427A"/>
    <w:rsid w:val="00F500B9"/>
    <w:rsid w:val="01992CBB"/>
    <w:rsid w:val="022502CD"/>
    <w:rsid w:val="05EB1609"/>
    <w:rsid w:val="05F445DA"/>
    <w:rsid w:val="08EE0B31"/>
    <w:rsid w:val="0A326819"/>
    <w:rsid w:val="0CBF216E"/>
    <w:rsid w:val="0FCB58D0"/>
    <w:rsid w:val="11427CB1"/>
    <w:rsid w:val="139E3D52"/>
    <w:rsid w:val="14027185"/>
    <w:rsid w:val="162B4B72"/>
    <w:rsid w:val="18AC060B"/>
    <w:rsid w:val="19076E1D"/>
    <w:rsid w:val="19544016"/>
    <w:rsid w:val="1EBD751D"/>
    <w:rsid w:val="1F117155"/>
    <w:rsid w:val="204B45CE"/>
    <w:rsid w:val="25705B71"/>
    <w:rsid w:val="26DB388D"/>
    <w:rsid w:val="28675736"/>
    <w:rsid w:val="2D4F2EA5"/>
    <w:rsid w:val="2DBB222D"/>
    <w:rsid w:val="2E211491"/>
    <w:rsid w:val="31243A8F"/>
    <w:rsid w:val="31D40AAE"/>
    <w:rsid w:val="34BB62BC"/>
    <w:rsid w:val="3AD730F4"/>
    <w:rsid w:val="3B253CE5"/>
    <w:rsid w:val="3BD871B8"/>
    <w:rsid w:val="3CF55A87"/>
    <w:rsid w:val="426B079B"/>
    <w:rsid w:val="429A727D"/>
    <w:rsid w:val="43122DF5"/>
    <w:rsid w:val="43EF2906"/>
    <w:rsid w:val="43F67C99"/>
    <w:rsid w:val="48281FEC"/>
    <w:rsid w:val="48834EF2"/>
    <w:rsid w:val="4C0B7195"/>
    <w:rsid w:val="4D3B293C"/>
    <w:rsid w:val="4FF109B4"/>
    <w:rsid w:val="51B40312"/>
    <w:rsid w:val="548B2004"/>
    <w:rsid w:val="57CC144D"/>
    <w:rsid w:val="582B0E09"/>
    <w:rsid w:val="5A180EE8"/>
    <w:rsid w:val="5D5B786B"/>
    <w:rsid w:val="5F412AB4"/>
    <w:rsid w:val="5F990D4B"/>
    <w:rsid w:val="61F32950"/>
    <w:rsid w:val="62B20F12"/>
    <w:rsid w:val="641E7445"/>
    <w:rsid w:val="644E0915"/>
    <w:rsid w:val="665761FC"/>
    <w:rsid w:val="6692162D"/>
    <w:rsid w:val="679A4C3E"/>
    <w:rsid w:val="6BD85BD1"/>
    <w:rsid w:val="70517C8C"/>
    <w:rsid w:val="71452C49"/>
    <w:rsid w:val="73224148"/>
    <w:rsid w:val="74D13BDA"/>
    <w:rsid w:val="776E35B0"/>
    <w:rsid w:val="78DB6F37"/>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autoRedefine/>
    <w:qFormat/>
    <w:uiPriority w:val="0"/>
    <w:rPr>
      <w:rFonts w:ascii="宋体" w:hAnsi="Courier New" w:cs="Courier New"/>
      <w:szCs w:val="21"/>
    </w:rPr>
  </w:style>
  <w:style w:type="paragraph" w:styleId="5">
    <w:name w:val="Plain Text"/>
    <w:basedOn w:val="1"/>
    <w:qFormat/>
    <w:uiPriority w:val="0"/>
    <w:rPr>
      <w:rFonts w:ascii="宋体" w:hAnsi="Courier New"/>
    </w:rPr>
  </w:style>
  <w:style w:type="paragraph" w:styleId="6">
    <w:name w:val="footer"/>
    <w:basedOn w:val="1"/>
    <w:link w:val="11"/>
    <w:autoRedefine/>
    <w:qFormat/>
    <w:uiPriority w:val="99"/>
    <w:pPr>
      <w:tabs>
        <w:tab w:val="center" w:pos="4153"/>
        <w:tab w:val="right" w:pos="8306"/>
      </w:tabs>
      <w:snapToGrid w:val="0"/>
      <w:jc w:val="left"/>
    </w:pPr>
    <w:rPr>
      <w:sz w:val="18"/>
      <w:szCs w:val="18"/>
    </w:rPr>
  </w:style>
  <w:style w:type="character" w:styleId="9">
    <w:name w:val="page number"/>
    <w:basedOn w:val="8"/>
    <w:autoRedefine/>
    <w:qFormat/>
    <w:uiPriority w:val="99"/>
  </w:style>
  <w:style w:type="character" w:customStyle="1" w:styleId="10">
    <w:name w:val="Heading 2 Char"/>
    <w:basedOn w:val="8"/>
    <w:link w:val="3"/>
    <w:semiHidden/>
    <w:qFormat/>
    <w:uiPriority w:val="9"/>
    <w:rPr>
      <w:rFonts w:asciiTheme="majorHAnsi" w:hAnsiTheme="majorHAnsi" w:eastAsiaTheme="majorEastAsia" w:cstheme="majorBidi"/>
      <w:b/>
      <w:bCs/>
      <w:sz w:val="32"/>
      <w:szCs w:val="32"/>
    </w:rPr>
  </w:style>
  <w:style w:type="character" w:customStyle="1" w:styleId="11">
    <w:name w:val="Footer Char"/>
    <w:basedOn w:val="8"/>
    <w:link w:val="6"/>
    <w:semiHidden/>
    <w:qFormat/>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22</Pages>
  <Words>5049</Words>
  <Characters>5263</Characters>
  <Lines>0</Lines>
  <Paragraphs>0</Paragraphs>
  <TotalTime>0</TotalTime>
  <ScaleCrop>false</ScaleCrop>
  <LinksUpToDate>false</LinksUpToDate>
  <CharactersWithSpaces>5349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LRZ</cp:lastModifiedBy>
  <dcterms:modified xsi:type="dcterms:W3CDTF">2024-06-19T01:03:00Z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473B6748972844DD9F946305675FD25C</vt:lpwstr>
  </property>
</Properties>
</file>