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b w:val="0"/>
          <w:bCs w:val="0"/>
          <w:sz w:val="32"/>
          <w:szCs w:val="32"/>
        </w:rPr>
      </w:pPr>
      <w:r>
        <w:rPr>
          <w:rFonts w:hint="eastAsia" w:ascii="楷体_GB2312" w:hAnsi="仿宋" w:eastAsia="楷体_GB2312" w:cs="楷体_GB2312"/>
          <w:b w:val="0"/>
          <w:bCs w:val="0"/>
          <w:sz w:val="32"/>
          <w:szCs w:val="32"/>
        </w:rPr>
        <w:t>附件</w:t>
      </w:r>
      <w:r>
        <w:rPr>
          <w:rFonts w:hint="eastAsia" w:ascii="楷体_GB2312" w:hAnsi="仿宋" w:eastAsia="楷体_GB2312" w:cs="楷体_GB2312"/>
          <w:b w:val="0"/>
          <w:bCs w:val="0"/>
          <w:sz w:val="32"/>
          <w:szCs w:val="32"/>
          <w:lang w:eastAsia="zh-CN"/>
        </w:rPr>
        <w:t>：</w:t>
      </w:r>
    </w:p>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2"/>
        <w:rPr>
          <w:rFonts w:hint="eastAsia" w:ascii="黑体" w:hAnsi="黑体" w:eastAsia="黑体" w:cs="黑体"/>
        </w:rPr>
      </w:pPr>
      <w:r>
        <w:rPr>
          <w:rFonts w:hint="eastAsia" w:ascii="黑体" w:hAnsi="黑体" w:eastAsia="黑体" w:cs="黑体"/>
          <w:lang w:val="en-US" w:eastAsia="zh-CN"/>
        </w:rPr>
        <w:t>景德镇市退役军人服务中心2021</w:t>
      </w:r>
      <w:r>
        <w:rPr>
          <w:rFonts w:hint="eastAsia" w:ascii="黑体" w:hAnsi="黑体" w:eastAsia="黑体" w:cs="黑体"/>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景德镇市退役军人服务中心</w:t>
      </w:r>
      <w:r>
        <w:rPr>
          <w:rFonts w:hint="eastAsia" w:ascii="黑体" w:hAnsi="宋体" w:eastAsia="黑体" w:cs="黑体"/>
          <w:sz w:val="32"/>
          <w:szCs w:val="32"/>
        </w:rPr>
        <w:t>概况</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景德镇市退役军人服务中心2021</w:t>
      </w:r>
      <w:r>
        <w:rPr>
          <w:rFonts w:hint="eastAsia" w:ascii="黑体" w:hAnsi="宋体" w:eastAsia="黑体" w:cs="黑体"/>
          <w:sz w:val="32"/>
          <w:szCs w:val="32"/>
        </w:rPr>
        <w:t>年部门预算情况说明</w:t>
      </w:r>
    </w:p>
    <w:p>
      <w:pPr>
        <w:keepNext w:val="0"/>
        <w:keepLines w:val="0"/>
        <w:pageBreakBefore w:val="0"/>
        <w:widowControl w:val="0"/>
        <w:kinsoku/>
        <w:wordWrap/>
        <w:overflowPunct/>
        <w:topLinePunct w:val="0"/>
        <w:autoSpaceDE/>
        <w:autoSpaceDN/>
        <w:bidi w:val="0"/>
        <w:adjustRightInd/>
        <w:snapToGrid/>
        <w:spacing w:line="660" w:lineRule="exact"/>
        <w:ind w:firstLine="960" w:firstLineChars="3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2021</w:t>
      </w:r>
      <w:r>
        <w:rPr>
          <w:rFonts w:hint="eastAsia" w:ascii="仿宋_GB2312" w:hAnsi="宋体" w:eastAsia="仿宋_GB2312" w:cs="仿宋_GB2312"/>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660" w:lineRule="exact"/>
        <w:ind w:firstLine="960" w:firstLineChars="3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2021</w:t>
      </w:r>
      <w:r>
        <w:rPr>
          <w:rFonts w:hint="eastAsia" w:ascii="仿宋_GB2312" w:hAnsi="宋体" w:eastAsia="仿宋_GB2312" w:cs="仿宋_GB2312"/>
          <w:sz w:val="32"/>
          <w:szCs w:val="32"/>
        </w:rPr>
        <w:t>年“三公”经费预算情况说明</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景德镇市退役军人服务中心2021</w:t>
      </w:r>
      <w:r>
        <w:rPr>
          <w:rFonts w:hint="eastAsia" w:ascii="黑体" w:hAnsi="宋体" w:eastAsia="黑体" w:cs="黑体"/>
          <w:sz w:val="32"/>
          <w:szCs w:val="32"/>
        </w:rPr>
        <w:t>年部门预算表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二、《部门收入总表》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三、《部门支出总表》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九、《一级项目绩效目标表》</w:t>
      </w:r>
    </w:p>
    <w:p>
      <w:pPr>
        <w:keepNext w:val="0"/>
        <w:keepLines w:val="0"/>
        <w:pageBreakBefore w:val="0"/>
        <w:widowControl w:val="0"/>
        <w:kinsoku/>
        <w:wordWrap/>
        <w:overflowPunct/>
        <w:topLinePunct w:val="0"/>
        <w:autoSpaceDE/>
        <w:autoSpaceDN/>
        <w:bidi w:val="0"/>
        <w:adjustRightInd/>
        <w:snapToGrid/>
        <w:spacing w:line="660" w:lineRule="exact"/>
        <w:textAlignment w:val="auto"/>
        <w:outlineLvl w:val="9"/>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keepNext w:val="0"/>
        <w:keepLines w:val="0"/>
        <w:pageBreakBefore w:val="0"/>
        <w:kinsoku/>
        <w:wordWrap/>
        <w:overflowPunct/>
        <w:topLinePunct w:val="0"/>
        <w:autoSpaceDE/>
        <w:autoSpaceDN/>
        <w:bidi w:val="0"/>
        <w:adjustRightInd/>
        <w:snapToGrid/>
        <w:spacing w:line="240" w:lineRule="auto"/>
        <w:jc w:val="both"/>
        <w:textAlignment w:val="auto"/>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景德镇市退役军人服务中心</w:t>
      </w:r>
      <w:r>
        <w:rPr>
          <w:rFonts w:hint="eastAsia" w:ascii="黑体" w:hAnsi="宋体" w:eastAsia="黑体" w:cs="黑体"/>
          <w:sz w:val="32"/>
          <w:szCs w:val="32"/>
        </w:rPr>
        <w:t>概况</w:t>
      </w:r>
    </w:p>
    <w:p>
      <w:pPr>
        <w:keepNext w:val="0"/>
        <w:keepLines w:val="0"/>
        <w:pageBreakBefore w:val="0"/>
        <w:kinsoku/>
        <w:wordWrap/>
        <w:overflowPunct/>
        <w:topLinePunct w:val="0"/>
        <w:autoSpaceDE/>
        <w:autoSpaceDN/>
        <w:bidi w:val="0"/>
        <w:adjustRightInd/>
        <w:snapToGrid/>
        <w:spacing w:line="240" w:lineRule="auto"/>
        <w:ind w:firstLine="630" w:firstLineChars="196"/>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景德镇市退役军人服务中心是市政府工作部门，主要职责是：</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1、协助做好退役军人行政关系、组织关系、供给关系转接和档案移交，推动将退役军人流动党员纳入入党的基层组织，配合组织部门做好教育管理。</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2、协助做好退役军人来信来访、接待办理、心理疏导、权益咨询、政策解答、法律服务以及涉退役军人舆情的收集,引导等工作。</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3、协助做好军属、烈属、伤病残军人、带病返乡退役军人服务等事务性工作。</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4、协助开展退役军人和其他优抚对象信息数据采集、资料整理、汇总分析等工作。</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 w:hAnsi="仿宋" w:eastAsia="仿宋" w:cs="仿宋"/>
          <w:color w:val="000000"/>
          <w:kern w:val="21"/>
          <w:sz w:val="32"/>
          <w:szCs w:val="32"/>
          <w:lang w:val="en-US" w:eastAsia="zh-CN"/>
        </w:rPr>
      </w:pPr>
      <w:r>
        <w:rPr>
          <w:rFonts w:hint="eastAsia" w:ascii="仿宋" w:hAnsi="仿宋" w:eastAsia="仿宋" w:cs="仿宋"/>
          <w:color w:val="000000"/>
          <w:kern w:val="21"/>
          <w:sz w:val="32"/>
          <w:szCs w:val="32"/>
          <w:lang w:val="en-US" w:eastAsia="zh-CN"/>
        </w:rPr>
        <w:t>5、负责提供就业创业服务和政策咨询,协助开展职业教育和技能培训,承办自主就业退役军人招聘会、推介会、就业论坛等,搭建就业创业、困难退役军人军属帮扶援助平台。</w:t>
      </w:r>
    </w:p>
    <w:p>
      <w:pPr>
        <w:keepNext w:val="0"/>
        <w:keepLines w:val="0"/>
        <w:pageBreakBefore w:val="0"/>
        <w:kinsoku/>
        <w:wordWrap/>
        <w:overflowPunct/>
        <w:topLinePunct w:val="0"/>
        <w:autoSpaceDE/>
        <w:autoSpaceDN/>
        <w:bidi w:val="0"/>
        <w:adjustRightInd/>
        <w:snapToGrid/>
        <w:spacing w:line="240" w:lineRule="auto"/>
        <w:ind w:firstLine="630" w:firstLineChars="196"/>
        <w:textAlignment w:val="auto"/>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二、部门基本情况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宋体"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编制数为</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rPr>
        <w:t>全额补助事业编制</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实有人数</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其中在职</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包括</w:t>
      </w:r>
      <w:r>
        <w:rPr>
          <w:rFonts w:hint="eastAsia" w:ascii="仿宋_GB2312" w:hAnsi="仿宋_GB2312" w:eastAsia="仿宋_GB2312" w:cs="仿宋_GB2312"/>
          <w:sz w:val="32"/>
          <w:szCs w:val="32"/>
        </w:rPr>
        <w:t>全额补助</w:t>
      </w:r>
      <w:r>
        <w:rPr>
          <w:rFonts w:hint="eastAsia" w:ascii="仿宋_GB2312" w:hAnsi="仿宋_GB2312" w:eastAsia="仿宋_GB2312" w:cs="仿宋_GB2312"/>
          <w:sz w:val="32"/>
          <w:szCs w:val="32"/>
          <w:lang w:val="en-US" w:eastAsia="zh-CN"/>
        </w:rPr>
        <w:t>事业人员13</w:t>
      </w:r>
      <w:r>
        <w:rPr>
          <w:rFonts w:hint="eastAsia" w:ascii="仿宋_GB2312" w:hAnsi="仿宋_GB2312" w:eastAsia="仿宋_GB2312" w:cs="仿宋_GB2312"/>
          <w:sz w:val="32"/>
          <w:szCs w:val="32"/>
        </w:rPr>
        <w:t>人。</w:t>
      </w:r>
    </w:p>
    <w:p>
      <w:pPr>
        <w:keepNext w:val="0"/>
        <w:keepLines w:val="0"/>
        <w:pageBreakBefore w:val="0"/>
        <w:kinsoku/>
        <w:wordWrap/>
        <w:overflowPunct/>
        <w:topLinePunct w:val="0"/>
        <w:autoSpaceDE/>
        <w:autoSpaceDN/>
        <w:bidi w:val="0"/>
        <w:adjustRightInd/>
        <w:snapToGrid/>
        <w:spacing w:line="240" w:lineRule="auto"/>
        <w:jc w:val="both"/>
        <w:textAlignment w:val="auto"/>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val="en-US" w:eastAsia="zh-CN"/>
        </w:rPr>
        <w:t xml:space="preserve">  景德镇市退役军人服务中心2021年</w:t>
      </w:r>
      <w:r>
        <w:rPr>
          <w:rFonts w:hint="eastAsia" w:ascii="黑体" w:hAnsi="宋体" w:eastAsia="黑体" w:cs="黑体"/>
          <w:sz w:val="32"/>
          <w:szCs w:val="32"/>
        </w:rPr>
        <w:t>部门预算情况说明</w:t>
      </w:r>
    </w:p>
    <w:p>
      <w:pPr>
        <w:keepNext w:val="0"/>
        <w:keepLines w:val="0"/>
        <w:pageBreakBefore w:val="0"/>
        <w:kinsoku/>
        <w:wordWrap/>
        <w:overflowPunct/>
        <w:topLinePunct w:val="0"/>
        <w:autoSpaceDE/>
        <w:autoSpaceDN/>
        <w:bidi w:val="0"/>
        <w:adjustRightInd/>
        <w:snapToGrid/>
        <w:spacing w:line="240" w:lineRule="auto"/>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2021年</w:t>
      </w:r>
      <w:r>
        <w:rPr>
          <w:rFonts w:hint="eastAsia" w:ascii="仿宋_GB2312" w:hAnsi="宋体" w:eastAsia="仿宋_GB2312" w:cs="仿宋_GB2312"/>
          <w:b/>
          <w:bCs/>
          <w:sz w:val="32"/>
          <w:szCs w:val="32"/>
        </w:rPr>
        <w:t>部门预算收支情况说明</w:t>
      </w:r>
    </w:p>
    <w:p>
      <w:pPr>
        <w:keepNext w:val="0"/>
        <w:keepLines w:val="0"/>
        <w:pageBreakBefore w:val="0"/>
        <w:kinsoku/>
        <w:wordWrap/>
        <w:overflowPunct/>
        <w:topLinePunct w:val="0"/>
        <w:autoSpaceDE/>
        <w:autoSpaceDN/>
        <w:bidi w:val="0"/>
        <w:adjustRightInd/>
        <w:snapToGrid/>
        <w:spacing w:line="240" w:lineRule="auto"/>
        <w:ind w:firstLine="482" w:firstLineChars="15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景德镇市退役军人服务中心</w:t>
      </w:r>
      <w:r>
        <w:rPr>
          <w:rFonts w:hint="eastAsia" w:ascii="仿宋_GB2312" w:hAnsi="仿宋_GB2312" w:eastAsia="仿宋_GB2312" w:cs="仿宋_GB2312"/>
          <w:sz w:val="32"/>
          <w:szCs w:val="32"/>
          <w:lang w:eastAsia="zh-CN"/>
        </w:rPr>
        <w:t>2021年</w:t>
      </w:r>
      <w:r>
        <w:rPr>
          <w:rFonts w:hint="eastAsia" w:ascii="仿宋_GB2312" w:hAnsi="仿宋_GB2312" w:eastAsia="仿宋_GB2312" w:cs="仿宋_GB2312"/>
          <w:sz w:val="32"/>
          <w:szCs w:val="32"/>
        </w:rPr>
        <w:t>收入预算总额</w:t>
      </w:r>
      <w:r>
        <w:rPr>
          <w:rFonts w:hint="eastAsia" w:ascii="仿宋_GB2312" w:hAnsi="仿宋_GB2312" w:eastAsia="仿宋_GB2312" w:cs="仿宋_GB2312"/>
          <w:sz w:val="32"/>
          <w:szCs w:val="32"/>
          <w:lang w:val="en-US" w:eastAsia="zh-CN"/>
        </w:rPr>
        <w:t>56.17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因我单位为新成立单位，故无法与上年进行比较。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rPr>
        <w:t>当年公共财政拨款收入</w:t>
      </w:r>
      <w:r>
        <w:rPr>
          <w:rFonts w:hint="eastAsia" w:ascii="仿宋_GB2312" w:hAnsi="仿宋_GB2312" w:eastAsia="仿宋_GB2312" w:cs="仿宋_GB2312"/>
          <w:sz w:val="32"/>
          <w:szCs w:val="32"/>
          <w:lang w:val="en-US" w:eastAsia="zh-CN"/>
        </w:rPr>
        <w:t>56.17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占收入预算总额的</w:t>
      </w:r>
      <w:r>
        <w:rPr>
          <w:rFonts w:hint="eastAsia" w:ascii="仿宋_GB2312" w:hAnsi="仿宋_GB2312" w:eastAsia="仿宋_GB2312" w:cs="仿宋_GB2312"/>
          <w:sz w:val="32"/>
          <w:szCs w:val="32"/>
          <w:lang w:val="en-US" w:eastAsia="zh-CN"/>
        </w:rPr>
        <w:t>100%；</w:t>
      </w:r>
    </w:p>
    <w:p>
      <w:pPr>
        <w:keepNext w:val="0"/>
        <w:keepLines w:val="0"/>
        <w:pageBreakBefore w:val="0"/>
        <w:kinsoku/>
        <w:wordWrap/>
        <w:overflowPunct/>
        <w:topLinePunct w:val="0"/>
        <w:autoSpaceDE/>
        <w:autoSpaceDN/>
        <w:bidi w:val="0"/>
        <w:adjustRightInd/>
        <w:snapToGrid/>
        <w:spacing w:line="240" w:lineRule="auto"/>
        <w:ind w:firstLine="482" w:firstLineChars="15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宋体" w:eastAsia="仿宋_GB2312" w:cs="仿宋_GB2312"/>
          <w:b w:val="0"/>
          <w:bCs w:val="0"/>
          <w:sz w:val="32"/>
          <w:szCs w:val="32"/>
          <w:lang w:val="en-US" w:eastAsia="zh-CN"/>
        </w:rPr>
        <w:t>景德镇市退役军人服务中心</w:t>
      </w:r>
      <w:r>
        <w:rPr>
          <w:rFonts w:hint="eastAsia" w:ascii="仿宋_GB2312" w:hAnsi="仿宋_GB2312" w:eastAsia="仿宋_GB2312" w:cs="仿宋_GB2312"/>
          <w:sz w:val="32"/>
          <w:szCs w:val="32"/>
          <w:lang w:eastAsia="zh-CN"/>
        </w:rPr>
        <w:t>2021年</w:t>
      </w:r>
      <w:r>
        <w:rPr>
          <w:rFonts w:hint="eastAsia" w:ascii="仿宋_GB2312" w:hAnsi="仿宋_GB2312" w:eastAsia="仿宋_GB2312" w:cs="仿宋_GB2312"/>
          <w:sz w:val="32"/>
          <w:szCs w:val="32"/>
        </w:rPr>
        <w:t>支出预算总额</w:t>
      </w:r>
      <w:r>
        <w:rPr>
          <w:rFonts w:hint="eastAsia" w:ascii="仿宋_GB2312" w:hAnsi="仿宋_GB2312" w:eastAsia="仿宋_GB2312" w:cs="仿宋_GB2312"/>
          <w:sz w:val="32"/>
          <w:szCs w:val="32"/>
          <w:lang w:val="en-US" w:eastAsia="zh-CN"/>
        </w:rPr>
        <w:t>56.17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因我单位为新成立单位，故无法与上年进行比较。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rPr>
        <w:t>按支出项目类别划分:基本支出</w:t>
      </w:r>
      <w:r>
        <w:rPr>
          <w:rFonts w:hint="eastAsia" w:ascii="仿宋_GB2312" w:hAnsi="仿宋_GB2312" w:eastAsia="仿宋_GB2312" w:cs="仿宋_GB2312"/>
          <w:sz w:val="32"/>
          <w:szCs w:val="32"/>
          <w:lang w:val="en-US" w:eastAsia="zh-CN"/>
        </w:rPr>
        <w:t>56.17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占支出预算总额的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包括</w:t>
      </w:r>
      <w:r>
        <w:rPr>
          <w:rFonts w:hint="eastAsia" w:ascii="仿宋_GB2312" w:hAnsi="仿宋_GB2312" w:eastAsia="仿宋_GB2312" w:cs="仿宋_GB2312"/>
          <w:sz w:val="32"/>
          <w:szCs w:val="32"/>
        </w:rPr>
        <w:t>:工资福利支出</w:t>
      </w:r>
      <w:r>
        <w:rPr>
          <w:rFonts w:hint="eastAsia" w:ascii="仿宋_GB2312" w:hAnsi="仿宋_GB2312" w:eastAsia="仿宋_GB2312" w:cs="仿宋_GB2312"/>
          <w:sz w:val="32"/>
          <w:szCs w:val="32"/>
          <w:lang w:val="en-US" w:eastAsia="zh-CN"/>
        </w:rPr>
        <w:t>39.37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16.8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按支出功能项目科目划分：社会保障和就业支出50.15万元，占支出预算总额的89.28%；卫生健康支出2.69万元，占支出预算总额的4.79%；住房保障支出3.33万元，占支出预算总额的5.93%。</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s="Times New Roman"/>
          <w:sz w:val="32"/>
          <w:szCs w:val="32"/>
        </w:rPr>
      </w:pPr>
      <w:r>
        <w:rPr>
          <w:rFonts w:hint="eastAsia" w:ascii="仿宋_GB2312" w:hAnsi="仿宋_GB2312" w:eastAsia="仿宋_GB2312" w:cs="仿宋_GB2312"/>
          <w:sz w:val="32"/>
          <w:szCs w:val="32"/>
          <w:lang w:val="en-US" w:eastAsia="zh-CN"/>
        </w:rPr>
        <w:t>按支出经济分类划分：</w:t>
      </w:r>
      <w:r>
        <w:rPr>
          <w:rFonts w:hint="eastAsia" w:ascii="仿宋_GB2312" w:hAnsi="仿宋_GB2312" w:eastAsia="仿宋_GB2312" w:cs="仿宋_GB2312"/>
          <w:sz w:val="32"/>
          <w:szCs w:val="32"/>
        </w:rPr>
        <w:t>工资福利支出</w:t>
      </w:r>
      <w:r>
        <w:rPr>
          <w:rFonts w:hint="eastAsia" w:ascii="仿宋_GB2312" w:hAnsi="仿宋_GB2312" w:eastAsia="仿宋_GB2312" w:cs="仿宋_GB2312"/>
          <w:sz w:val="32"/>
          <w:szCs w:val="32"/>
          <w:lang w:val="en-US" w:eastAsia="zh-CN"/>
        </w:rPr>
        <w:t>39.37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占支出预算总额的70.09%；</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16.8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占支出预算总额的29.91%。</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b/>
          <w:color w:val="000000"/>
          <w:sz w:val="32"/>
          <w:szCs w:val="32"/>
        </w:rPr>
      </w:pPr>
      <w:r>
        <w:rPr>
          <w:rFonts w:hint="eastAsia" w:ascii="仿宋_GB2312" w:hAnsi="宋体" w:eastAsia="仿宋_GB2312" w:cs="仿宋_GB2312"/>
          <w:b/>
          <w:bCs/>
          <w:sz w:val="32"/>
          <w:szCs w:val="32"/>
        </w:rPr>
        <w:t>（三）</w:t>
      </w:r>
      <w:r>
        <w:rPr>
          <w:rFonts w:hint="eastAsia" w:ascii="仿宋_GB2312" w:eastAsia="仿宋_GB2312"/>
          <w:b/>
          <w:color w:val="000000"/>
          <w:sz w:val="32"/>
          <w:szCs w:val="32"/>
        </w:rPr>
        <w:t>财政拨款支出情况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景德镇市退役军人服务中心</w:t>
      </w:r>
      <w:r>
        <w:rPr>
          <w:rFonts w:hint="eastAsia" w:ascii="仿宋_GB2312" w:hAnsi="仿宋_GB2312" w:eastAsia="仿宋_GB2312" w:cs="仿宋_GB2312"/>
          <w:sz w:val="32"/>
          <w:szCs w:val="32"/>
          <w:lang w:eastAsia="zh-CN"/>
        </w:rPr>
        <w:t>2021年</w:t>
      </w:r>
      <w:r>
        <w:rPr>
          <w:rFonts w:hint="eastAsia" w:ascii="仿宋_GB2312" w:hAnsi="仿宋_GB2312" w:eastAsia="仿宋_GB2312" w:cs="仿宋_GB2312"/>
          <w:sz w:val="32"/>
          <w:szCs w:val="32"/>
        </w:rPr>
        <w:t>公共财政拨款支出预算为</w:t>
      </w:r>
      <w:r>
        <w:rPr>
          <w:rFonts w:hint="eastAsia" w:ascii="仿宋_GB2312" w:hAnsi="仿宋_GB2312" w:eastAsia="仿宋_GB2312" w:cs="仿宋_GB2312"/>
          <w:sz w:val="32"/>
          <w:szCs w:val="32"/>
          <w:lang w:val="en-US" w:eastAsia="zh-CN"/>
        </w:rPr>
        <w:t>56.17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因我单位为新成立单位，故无法与上年进行比较。具体支出情况是：社会保障和就业支出50.15万元，占支出预算总额的89.28%；卫生健康支出2.69万元，占支出预算总额的4.79%；住房保障支出3.33万元，占支出预算总额的5.93%。</w:t>
      </w:r>
    </w:p>
    <w:p>
      <w:pPr>
        <w:keepNext w:val="0"/>
        <w:keepLines w:val="0"/>
        <w:pageBreakBefore w:val="0"/>
        <w:numPr>
          <w:ilvl w:val="0"/>
          <w:numId w:val="1"/>
        </w:numPr>
        <w:kinsoku/>
        <w:wordWrap/>
        <w:overflowPunct/>
        <w:topLinePunct w:val="0"/>
        <w:autoSpaceDE/>
        <w:autoSpaceDN/>
        <w:bidi w:val="0"/>
        <w:adjustRightInd/>
        <w:snapToGrid/>
        <w:spacing w:line="240" w:lineRule="auto"/>
        <w:ind w:left="54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keepNext w:val="0"/>
        <w:keepLines w:val="0"/>
        <w:pageBreakBefore w:val="0"/>
        <w:tabs>
          <w:tab w:val="left" w:pos="1162"/>
        </w:tabs>
        <w:kinsoku/>
        <w:wordWrap/>
        <w:overflowPunct/>
        <w:topLinePunct w:val="0"/>
        <w:autoSpaceDE/>
        <w:autoSpaceDN/>
        <w:bidi w:val="0"/>
        <w:adjustRightInd/>
        <w:snapToGrid/>
        <w:spacing w:line="240" w:lineRule="auto"/>
        <w:ind w:left="420" w:leftChars="200" w:firstLine="320" w:firstLineChars="1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无政府采购预算情况</w:t>
      </w:r>
    </w:p>
    <w:p>
      <w:pPr>
        <w:keepNext w:val="0"/>
        <w:keepLines w:val="0"/>
        <w:pageBreakBefore w:val="0"/>
        <w:tabs>
          <w:tab w:val="left" w:pos="1162"/>
        </w:tabs>
        <w:kinsoku/>
        <w:wordWrap/>
        <w:overflowPunct/>
        <w:topLinePunct w:val="0"/>
        <w:autoSpaceDE/>
        <w:autoSpaceDN/>
        <w:bidi w:val="0"/>
        <w:adjustRightInd/>
        <w:snapToGrid/>
        <w:spacing w:line="240" w:lineRule="auto"/>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keepNext w:val="0"/>
        <w:keepLines w:val="0"/>
        <w:pageBreakBefore w:val="0"/>
        <w:tabs>
          <w:tab w:val="left" w:pos="1162"/>
        </w:tabs>
        <w:kinsoku/>
        <w:wordWrap/>
        <w:overflowPunct/>
        <w:topLinePunct w:val="0"/>
        <w:autoSpaceDE/>
        <w:autoSpaceDN/>
        <w:bidi w:val="0"/>
        <w:adjustRightInd/>
        <w:snapToGrid/>
        <w:spacing w:line="240" w:lineRule="auto"/>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2021年政府采购预算为0万元，因我单位为新成立单位，故无法与上年进行比较，也未申报政府采购预算。其中：部门集中采购货物0万元；部门集中采购工程0万元；政府购</w:t>
      </w:r>
      <w:bookmarkStart w:id="0" w:name="_GoBack"/>
      <w:bookmarkEnd w:id="0"/>
      <w:r>
        <w:rPr>
          <w:rFonts w:hint="eastAsia" w:ascii="仿宋_GB2312" w:hAnsi="仿宋_GB2312" w:eastAsia="仿宋_GB2312" w:cs="仿宋_GB2312"/>
          <w:sz w:val="32"/>
          <w:szCs w:val="32"/>
          <w:lang w:val="en-US" w:eastAsia="zh-CN"/>
        </w:rPr>
        <w:t>买服务预算0万元。</w:t>
      </w:r>
    </w:p>
    <w:p>
      <w:pPr>
        <w:keepNext w:val="0"/>
        <w:keepLines w:val="0"/>
        <w:pageBreakBefore w:val="0"/>
        <w:tabs>
          <w:tab w:val="left" w:pos="1113"/>
        </w:tabs>
        <w:kinsoku/>
        <w:wordWrap/>
        <w:overflowPunct/>
        <w:topLinePunct w:val="0"/>
        <w:autoSpaceDE/>
        <w:autoSpaceDN/>
        <w:bidi w:val="0"/>
        <w:adjustRightInd/>
        <w:snapToGrid/>
        <w:spacing w:line="240" w:lineRule="auto"/>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（六）</w:t>
      </w:r>
      <w:r>
        <w:rPr>
          <w:rFonts w:hint="eastAsia" w:ascii="仿宋_GB2312" w:hAnsi="宋体" w:eastAsia="仿宋_GB2312" w:cs="仿宋_GB2312"/>
          <w:b/>
          <w:bCs/>
          <w:sz w:val="32"/>
          <w:szCs w:val="32"/>
          <w:lang w:val="en-US" w:eastAsia="zh-CN"/>
        </w:rPr>
        <w:t>2021年</w:t>
      </w:r>
      <w:r>
        <w:rPr>
          <w:rFonts w:hint="eastAsia" w:ascii="仿宋_GB2312" w:hAnsi="宋体" w:eastAsia="仿宋_GB2312" w:cs="仿宋_GB2312"/>
          <w:b/>
          <w:bCs/>
          <w:sz w:val="32"/>
          <w:szCs w:val="32"/>
        </w:rPr>
        <w:t>“三公”经费预算情况说明</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无“三公”经费预算情况</w:t>
      </w:r>
    </w:p>
    <w:p>
      <w:pPr>
        <w:keepNext w:val="0"/>
        <w:keepLines w:val="0"/>
        <w:pageBreakBefore w:val="0"/>
        <w:kinsoku/>
        <w:wordWrap/>
        <w:overflowPunct/>
        <w:topLinePunct w:val="0"/>
        <w:autoSpaceDE/>
        <w:autoSpaceDN/>
        <w:bidi w:val="0"/>
        <w:adjustRightInd/>
        <w:snapToGrid/>
        <w:spacing w:line="240" w:lineRule="auto"/>
        <w:jc w:val="both"/>
        <w:textAlignment w:val="auto"/>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景德镇市退役军人服务中心</w:t>
      </w:r>
      <w:r>
        <w:rPr>
          <w:rFonts w:hint="eastAsia" w:ascii="黑体" w:hAnsi="宋体" w:eastAsia="黑体" w:cs="黑体"/>
          <w:sz w:val="32"/>
          <w:szCs w:val="32"/>
          <w:lang w:val="en-US" w:eastAsia="zh-CN"/>
        </w:rPr>
        <w:t>2021年</w:t>
      </w:r>
      <w:r>
        <w:rPr>
          <w:rFonts w:hint="eastAsia" w:ascii="黑体" w:hAnsi="宋体" w:eastAsia="黑体" w:cs="黑体"/>
          <w:sz w:val="32"/>
          <w:szCs w:val="32"/>
        </w:rPr>
        <w:t>部门预算表</w:t>
      </w: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黑体" w:hAnsi="宋体" w:eastAsia="黑体" w:cs="黑体"/>
          <w:sz w:val="32"/>
          <w:szCs w:val="32"/>
          <w:lang w:eastAsia="zh-CN"/>
        </w:rPr>
      </w:pPr>
      <w:r>
        <w:rPr>
          <w:rFonts w:hint="eastAsia" w:ascii="黑体" w:hAnsi="宋体" w:eastAsia="黑体" w:cs="黑体"/>
          <w:sz w:val="32"/>
          <w:szCs w:val="32"/>
          <w:lang w:eastAsia="zh-CN"/>
        </w:rPr>
        <w:drawing>
          <wp:inline distT="0" distB="0" distL="114300" distR="114300">
            <wp:extent cx="5264785" cy="2741295"/>
            <wp:effectExtent l="0" t="0" r="12065" b="1905"/>
            <wp:docPr id="8" name="图片 8" descr="16238320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23832039(1)"/>
                    <pic:cNvPicPr>
                      <a:picLocks noChangeAspect="1"/>
                    </pic:cNvPicPr>
                  </pic:nvPicPr>
                  <pic:blipFill>
                    <a:blip r:embed="rId5"/>
                    <a:stretch>
                      <a:fillRect/>
                    </a:stretch>
                  </pic:blipFill>
                  <pic:spPr>
                    <a:xfrm>
                      <a:off x="0" y="0"/>
                      <a:ext cx="5264785" cy="274129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1770" cy="2714625"/>
            <wp:effectExtent l="0" t="0" r="5080" b="9525"/>
            <wp:docPr id="9" name="图片 9" descr="16238320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23832063(1)"/>
                    <pic:cNvPicPr>
                      <a:picLocks noChangeAspect="1"/>
                    </pic:cNvPicPr>
                  </pic:nvPicPr>
                  <pic:blipFill>
                    <a:blip r:embed="rId6"/>
                    <a:stretch>
                      <a:fillRect/>
                    </a:stretch>
                  </pic:blipFill>
                  <pic:spPr>
                    <a:xfrm>
                      <a:off x="0" y="0"/>
                      <a:ext cx="5271770" cy="271462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69230" cy="2372995"/>
            <wp:effectExtent l="0" t="0" r="7620" b="8255"/>
            <wp:docPr id="10" name="图片 10" descr="16238320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623832080(1)"/>
                    <pic:cNvPicPr>
                      <a:picLocks noChangeAspect="1"/>
                    </pic:cNvPicPr>
                  </pic:nvPicPr>
                  <pic:blipFill>
                    <a:blip r:embed="rId7"/>
                    <a:stretch>
                      <a:fillRect/>
                    </a:stretch>
                  </pic:blipFill>
                  <pic:spPr>
                    <a:xfrm>
                      <a:off x="0" y="0"/>
                      <a:ext cx="5269230" cy="237299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1135" cy="2154555"/>
            <wp:effectExtent l="0" t="0" r="5715" b="17145"/>
            <wp:docPr id="11" name="图片 11" descr="16238320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23832096(1)"/>
                    <pic:cNvPicPr>
                      <a:picLocks noChangeAspect="1"/>
                    </pic:cNvPicPr>
                  </pic:nvPicPr>
                  <pic:blipFill>
                    <a:blip r:embed="rId8"/>
                    <a:stretch>
                      <a:fillRect/>
                    </a:stretch>
                  </pic:blipFill>
                  <pic:spPr>
                    <a:xfrm>
                      <a:off x="0" y="0"/>
                      <a:ext cx="5271135" cy="215455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69865" cy="2720340"/>
            <wp:effectExtent l="0" t="0" r="6985" b="3810"/>
            <wp:docPr id="12" name="图片 12" descr="16238321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623832109(1)"/>
                    <pic:cNvPicPr>
                      <a:picLocks noChangeAspect="1"/>
                    </pic:cNvPicPr>
                  </pic:nvPicPr>
                  <pic:blipFill>
                    <a:blip r:embed="rId9"/>
                    <a:stretch>
                      <a:fillRect/>
                    </a:stretch>
                  </pic:blipFill>
                  <pic:spPr>
                    <a:xfrm>
                      <a:off x="0" y="0"/>
                      <a:ext cx="5269865" cy="272034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65420" cy="2505075"/>
            <wp:effectExtent l="0" t="0" r="11430" b="9525"/>
            <wp:docPr id="13" name="图片 13" descr="16238321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623832138(1)"/>
                    <pic:cNvPicPr>
                      <a:picLocks noChangeAspect="1"/>
                    </pic:cNvPicPr>
                  </pic:nvPicPr>
                  <pic:blipFill>
                    <a:blip r:embed="rId10"/>
                    <a:stretch>
                      <a:fillRect/>
                    </a:stretch>
                  </pic:blipFill>
                  <pic:spPr>
                    <a:xfrm>
                      <a:off x="0" y="0"/>
                      <a:ext cx="5265420" cy="250507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3675" cy="857250"/>
            <wp:effectExtent l="0" t="0" r="3175" b="0"/>
            <wp:docPr id="14" name="图片 14" descr="16238321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623832154(1)"/>
                    <pic:cNvPicPr>
                      <a:picLocks noChangeAspect="1"/>
                    </pic:cNvPicPr>
                  </pic:nvPicPr>
                  <pic:blipFill>
                    <a:blip r:embed="rId11"/>
                    <a:stretch>
                      <a:fillRect/>
                    </a:stretch>
                  </pic:blipFill>
                  <pic:spPr>
                    <a:xfrm>
                      <a:off x="0" y="0"/>
                      <a:ext cx="5273675" cy="85725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0500" cy="1285240"/>
            <wp:effectExtent l="0" t="0" r="6350" b="10160"/>
            <wp:docPr id="15" name="图片 15" descr="16238321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623832169(1)"/>
                    <pic:cNvPicPr>
                      <a:picLocks noChangeAspect="1"/>
                    </pic:cNvPicPr>
                  </pic:nvPicPr>
                  <pic:blipFill>
                    <a:blip r:embed="rId12"/>
                    <a:stretch>
                      <a:fillRect/>
                    </a:stretch>
                  </pic:blipFill>
                  <pic:spPr>
                    <a:xfrm>
                      <a:off x="0" y="0"/>
                      <a:ext cx="5270500" cy="1285240"/>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line="240" w:lineRule="auto"/>
        <w:jc w:val="both"/>
        <w:textAlignment w:val="auto"/>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b/>
          <w:bCs/>
          <w:color w:val="000000"/>
          <w:sz w:val="32"/>
          <w:szCs w:val="32"/>
        </w:rPr>
      </w:pPr>
      <w:r>
        <w:rPr>
          <w:rFonts w:hint="eastAsia" w:ascii="仿宋_GB2312" w:eastAsia="仿宋_GB2312"/>
          <w:b/>
          <w:bCs/>
          <w:color w:val="000000"/>
          <w:sz w:val="32"/>
          <w:szCs w:val="32"/>
        </w:rPr>
        <w:t>一、收入科目</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color w:val="000000"/>
          <w:sz w:val="32"/>
          <w:szCs w:val="32"/>
        </w:rPr>
      </w:pPr>
      <w:r>
        <w:rPr>
          <w:rFonts w:hint="eastAsia" w:ascii="仿宋_GB2312" w:eastAsia="仿宋_GB2312"/>
          <w:color w:val="000000"/>
          <w:sz w:val="32"/>
          <w:szCs w:val="32"/>
        </w:rPr>
        <w:t>各部门结合实际进行解释。</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color w:val="000000"/>
          <w:sz w:val="32"/>
          <w:szCs w:val="32"/>
        </w:rPr>
      </w:pPr>
      <w:r>
        <w:rPr>
          <w:rFonts w:hint="eastAsia" w:ascii="仿宋_GB2312" w:eastAsia="仿宋_GB2312"/>
          <w:color w:val="000000"/>
          <w:sz w:val="32"/>
          <w:szCs w:val="32"/>
        </w:rPr>
        <w:t>（一）财政拨款：指</w:t>
      </w:r>
      <w:r>
        <w:rPr>
          <w:rFonts w:hint="eastAsia" w:ascii="仿宋_GB2312" w:eastAsia="仿宋_GB2312"/>
          <w:color w:val="000000"/>
          <w:sz w:val="32"/>
          <w:szCs w:val="32"/>
          <w:lang w:eastAsia="zh-CN"/>
        </w:rPr>
        <w:t>市级</w:t>
      </w:r>
      <w:r>
        <w:rPr>
          <w:rFonts w:hint="eastAsia" w:ascii="仿宋_GB2312" w:eastAsia="仿宋_GB2312"/>
          <w:color w:val="000000"/>
          <w:sz w:val="32"/>
          <w:szCs w:val="32"/>
        </w:rPr>
        <w:t>财政当年拨付的资金。</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二</w:t>
      </w:r>
      <w:r>
        <w:rPr>
          <w:rFonts w:hint="eastAsia" w:ascii="仿宋_GB2312" w:eastAsia="仿宋_GB2312"/>
          <w:color w:val="000000"/>
          <w:sz w:val="32"/>
          <w:szCs w:val="32"/>
        </w:rPr>
        <w:t>）上年结转和结余：填列</w:t>
      </w:r>
      <w:r>
        <w:rPr>
          <w:rFonts w:hint="eastAsia" w:ascii="仿宋_GB2312" w:eastAsia="仿宋_GB2312"/>
          <w:color w:val="000000"/>
          <w:sz w:val="32"/>
          <w:szCs w:val="32"/>
          <w:lang w:val="en-US" w:eastAsia="zh-CN"/>
        </w:rPr>
        <w:t>2020</w:t>
      </w:r>
      <w:r>
        <w:rPr>
          <w:rFonts w:hint="eastAsia" w:ascii="仿宋_GB2312" w:eastAsia="仿宋_GB2312"/>
          <w:color w:val="000000"/>
          <w:sz w:val="32"/>
          <w:szCs w:val="32"/>
        </w:rPr>
        <w:t>年全部结转和结余的资金数，包括当年结转结余资金和历年滚存结转结余资金。</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b/>
          <w:bCs/>
          <w:color w:val="000000"/>
          <w:sz w:val="32"/>
          <w:szCs w:val="32"/>
        </w:rPr>
      </w:pPr>
      <w:r>
        <w:rPr>
          <w:rFonts w:hint="eastAsia" w:ascii="仿宋_GB2312" w:eastAsia="仿宋_GB2312"/>
          <w:b/>
          <w:bCs/>
          <w:color w:val="000000"/>
          <w:sz w:val="32"/>
          <w:szCs w:val="32"/>
        </w:rPr>
        <w:t>二、支出科目</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一</w:t>
      </w:r>
      <w:r>
        <w:rPr>
          <w:rFonts w:hint="eastAsia" w:ascii="仿宋" w:hAnsi="仿宋" w:eastAsia="仿宋" w:cs="仿宋"/>
          <w:color w:val="000000"/>
          <w:kern w:val="0"/>
          <w:sz w:val="32"/>
          <w:szCs w:val="32"/>
          <w:lang w:eastAsia="zh-CN"/>
        </w:rPr>
        <w:t>）社会保障和就业支出（类）民政管理事务（款）其他民政管理事务支出（项）：反应</w:t>
      </w:r>
      <w:r>
        <w:rPr>
          <w:rFonts w:hint="eastAsia" w:ascii="仿宋" w:hAnsi="仿宋" w:eastAsia="仿宋" w:cs="仿宋"/>
          <w:color w:val="000000"/>
          <w:kern w:val="0"/>
          <w:sz w:val="32"/>
          <w:szCs w:val="32"/>
          <w:lang w:val="en-US" w:eastAsia="zh-CN"/>
        </w:rPr>
        <w:t>民政部门</w:t>
      </w:r>
      <w:r>
        <w:rPr>
          <w:rFonts w:hint="eastAsia" w:ascii="仿宋" w:hAnsi="仿宋" w:eastAsia="仿宋" w:cs="仿宋"/>
          <w:color w:val="000000"/>
          <w:kern w:val="0"/>
          <w:sz w:val="32"/>
          <w:szCs w:val="32"/>
          <w:lang w:eastAsia="zh-CN"/>
        </w:rPr>
        <w:t>接待来访、法制建设、政策宣传方面的支出以及开展优抚安置、救灾减灾、社会救助、社会福利、社会事务、信息化建设等</w:t>
      </w:r>
      <w:r>
        <w:rPr>
          <w:rFonts w:hint="eastAsia" w:ascii="仿宋" w:hAnsi="仿宋" w:eastAsia="仿宋" w:cs="仿宋"/>
          <w:color w:val="000000"/>
          <w:kern w:val="0"/>
          <w:sz w:val="32"/>
          <w:szCs w:val="32"/>
          <w:lang w:val="en-US" w:eastAsia="zh-CN"/>
        </w:rPr>
        <w:t>方面</w:t>
      </w:r>
      <w:r>
        <w:rPr>
          <w:rFonts w:hint="eastAsia" w:ascii="仿宋" w:hAnsi="仿宋" w:eastAsia="仿宋" w:cs="仿宋"/>
          <w:color w:val="000000"/>
          <w:kern w:val="0"/>
          <w:sz w:val="32"/>
          <w:szCs w:val="32"/>
          <w:lang w:eastAsia="zh-CN"/>
        </w:rPr>
        <w:t>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二</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行政单位离退休</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反映行政单位（包括实行公务员管理的事业单位）开支的离退休经费。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（三）</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事业单位离退休</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反映事业单位开支的离退休经费。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（四）</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机关事业单位基本养老保险缴费支出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反映机关事业单位实施养老保险制度由单位缴纳的基本养老保险费支出。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（五）</w:t>
      </w:r>
      <w:r>
        <w:rPr>
          <w:rFonts w:hint="eastAsia" w:ascii="仿宋" w:hAnsi="仿宋" w:eastAsia="仿宋" w:cs="仿宋"/>
          <w:color w:val="000000"/>
          <w:kern w:val="0"/>
          <w:sz w:val="32"/>
          <w:szCs w:val="32"/>
          <w:lang w:eastAsia="zh-CN"/>
        </w:rPr>
        <w:t>社会保障和就业支出（类）抚恤（款）</w:t>
      </w:r>
      <w:r>
        <w:rPr>
          <w:rFonts w:hint="eastAsia" w:ascii="仿宋" w:hAnsi="仿宋" w:eastAsia="仿宋" w:cs="仿宋"/>
          <w:color w:val="000000"/>
          <w:kern w:val="0"/>
          <w:sz w:val="32"/>
          <w:szCs w:val="32"/>
          <w:lang w:val="en-US" w:eastAsia="zh-CN"/>
        </w:rPr>
        <w:t>其他优抚支出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反映春节及八一走访慰问项目支出。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（六）</w:t>
      </w:r>
      <w:r>
        <w:rPr>
          <w:rFonts w:hint="eastAsia" w:ascii="仿宋" w:hAnsi="仿宋" w:eastAsia="仿宋" w:cs="仿宋"/>
          <w:color w:val="000000"/>
          <w:kern w:val="0"/>
          <w:sz w:val="32"/>
          <w:szCs w:val="32"/>
          <w:lang w:eastAsia="zh-CN"/>
        </w:rPr>
        <w:t xml:space="preserve">社会保障和就业支出（类）退役安置（款） </w:t>
      </w:r>
      <w:r>
        <w:rPr>
          <w:rFonts w:hint="eastAsia" w:ascii="仿宋" w:hAnsi="仿宋" w:eastAsia="仿宋" w:cs="仿宋"/>
          <w:color w:val="000000"/>
          <w:kern w:val="0"/>
          <w:sz w:val="32"/>
          <w:szCs w:val="32"/>
          <w:lang w:val="en-US" w:eastAsia="zh-CN"/>
        </w:rPr>
        <w:t>退役士兵安置</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对符合条件的退役士兵、转业士官的安置支出。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val="en-US" w:eastAsia="zh-CN"/>
        </w:rPr>
        <w:t>（七）</w:t>
      </w:r>
      <w:r>
        <w:rPr>
          <w:rFonts w:hint="eastAsia" w:ascii="仿宋" w:hAnsi="仿宋" w:eastAsia="仿宋" w:cs="仿宋"/>
          <w:color w:val="000000"/>
          <w:kern w:val="0"/>
          <w:sz w:val="32"/>
          <w:szCs w:val="32"/>
          <w:lang w:eastAsia="zh-CN"/>
        </w:rPr>
        <w:t>社会保障和就业支出（类）退役安置（款） 军队移交政府离退休干部管理机构（项）：反应民政部门管理的军休所的人员经费、公用经费以及管理机构用法建设经费等支出。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八</w:t>
      </w:r>
      <w:r>
        <w:rPr>
          <w:rFonts w:hint="eastAsia" w:ascii="仿宋" w:hAnsi="仿宋" w:eastAsia="仿宋" w:cs="仿宋"/>
          <w:color w:val="000000"/>
          <w:kern w:val="0"/>
          <w:sz w:val="32"/>
          <w:szCs w:val="32"/>
          <w:lang w:eastAsia="zh-CN"/>
        </w:rPr>
        <w:t>）社会保障和就业支出（类）退役安置（款） 军队</w:t>
      </w:r>
      <w:r>
        <w:rPr>
          <w:rFonts w:hint="eastAsia" w:ascii="仿宋" w:hAnsi="仿宋" w:eastAsia="仿宋" w:cs="仿宋"/>
          <w:color w:val="000000"/>
          <w:kern w:val="0"/>
          <w:sz w:val="32"/>
          <w:szCs w:val="32"/>
          <w:lang w:val="en-US" w:eastAsia="zh-CN"/>
        </w:rPr>
        <w:t>转业干部安置</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反映军转干部安置、人员经费、自主择业退役金等方面的支出。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（九）</w:t>
      </w:r>
      <w:r>
        <w:rPr>
          <w:rFonts w:hint="eastAsia" w:ascii="仿宋" w:hAnsi="仿宋" w:eastAsia="仿宋" w:cs="仿宋"/>
          <w:color w:val="000000"/>
          <w:kern w:val="0"/>
          <w:sz w:val="32"/>
          <w:szCs w:val="32"/>
          <w:lang w:eastAsia="zh-CN"/>
        </w:rPr>
        <w:t xml:space="preserve">社会保障和就业支出（类）退役安置（款） </w:t>
      </w:r>
      <w:r>
        <w:rPr>
          <w:rFonts w:hint="eastAsia" w:ascii="仿宋" w:hAnsi="仿宋" w:eastAsia="仿宋" w:cs="仿宋"/>
          <w:color w:val="000000"/>
          <w:kern w:val="0"/>
          <w:sz w:val="32"/>
          <w:szCs w:val="32"/>
          <w:lang w:val="en-US" w:eastAsia="zh-CN"/>
        </w:rPr>
        <w:t>其他退役安置支出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反映上述项目以外的用于退役安置方面的支出。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行政运行</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反映行政单位的基本支出。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十一</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拥军优属</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反映拥军优属活动的支出。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十二</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部队供应</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反映军供站等用于保障军队运输和饮食供应的支出。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十三）</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其他退役军人事务管理支出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反映除上述项目以外的其他用于退役军人事务管理方面的支出。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十四）</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其他社会保障和就业支出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其他社会保障和就业支出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反映其他用于其他社会保障和就业支出方面的支出。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（十五）卫生健康支出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行政单位医疗</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反映财政部门安排的行政单位（包括实行公务员管理的事业单位）基本医疗保险缴费经费。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（十六）卫生健康支出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事业单位医疗</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反映财政部门安排的事业单位基本医疗保险缴费经费。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（十七）卫生健康支出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公务员医疗补助</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反映财政部门安排的公务员医疗补助经费。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（十八）卫生健康支出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其他行政事业单位医疗支出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反映除上述项目以外的其他用于行政事业单位医疗方面的支出。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十九</w:t>
      </w:r>
      <w:r>
        <w:rPr>
          <w:rFonts w:hint="eastAsia" w:ascii="仿宋" w:hAnsi="仿宋" w:eastAsia="仿宋" w:cs="仿宋"/>
          <w:color w:val="000000"/>
          <w:kern w:val="0"/>
          <w:sz w:val="32"/>
          <w:szCs w:val="32"/>
          <w:lang w:eastAsia="zh-CN"/>
        </w:rPr>
        <w:t>）住房保障支出（类） 住房改革支出（款）住房公积金（项）：住房公积金的支出。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二十</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pPr>
        <w:ind w:firstLine="640" w:firstLineChars="200"/>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二十一</w:t>
      </w:r>
      <w:r>
        <w:rPr>
          <w:rFonts w:hint="eastAsia" w:ascii="仿宋" w:hAnsi="仿宋" w:eastAsia="仿宋" w:cs="仿宋"/>
          <w:color w:val="000000"/>
          <w:kern w:val="0"/>
          <w:sz w:val="32"/>
          <w:szCs w:val="32"/>
          <w:lang w:eastAsia="zh-CN"/>
        </w:rPr>
        <w:t>）</w:t>
      </w:r>
      <w:r>
        <w:rPr>
          <w:rFonts w:hint="default" w:ascii="仿宋" w:hAnsi="仿宋" w:eastAsia="仿宋" w:cs="仿宋"/>
          <w:color w:val="000000"/>
          <w:kern w:val="0"/>
          <w:sz w:val="32"/>
          <w:szCs w:val="32"/>
          <w:lang w:val="en-US" w:eastAsia="zh-CN"/>
        </w:rPr>
        <w:t>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pPr>
        <w:pStyle w:val="2"/>
        <w:rPr>
          <w:rFonts w:hint="eastAsia"/>
          <w:lang w:val="en-US" w:eastAsia="zh-CN"/>
        </w:rPr>
      </w:pP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仿宋"/>
          <w:color w:val="000000"/>
          <w:kern w:val="0"/>
          <w:sz w:val="32"/>
          <w:szCs w:val="32"/>
          <w:lang w:val="en-US" w:eastAsia="zh-CN"/>
        </w:rPr>
      </w:pP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p>
    <w:p>
      <w:pPr>
        <w:ind w:firstLine="640" w:firstLineChars="200"/>
        <w:rPr>
          <w:rFonts w:hint="default" w:ascii="仿宋" w:hAnsi="仿宋" w:eastAsia="仿宋" w:cs="仿宋"/>
          <w:color w:val="000000"/>
          <w:kern w:val="0"/>
          <w:sz w:val="32"/>
          <w:szCs w:val="32"/>
          <w:lang w:val="en-US" w:eastAsia="zh-CN"/>
        </w:rPr>
      </w:pPr>
    </w:p>
    <w:p>
      <w:pPr>
        <w:ind w:firstLine="640" w:firstLineChars="200"/>
        <w:rPr>
          <w:rFonts w:hint="default" w:ascii="仿宋" w:hAnsi="仿宋" w:eastAsia="仿宋" w:cs="仿宋"/>
          <w:color w:val="000000"/>
          <w:kern w:val="0"/>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778CA"/>
    <w:multiLevelType w:val="singleLevel"/>
    <w:tmpl w:val="59A778CA"/>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OWFjNGFmMDFjYjY3OTU5YTc5MGYxZmU2Y2M4ZTQifQ=="/>
  </w:docVars>
  <w:rsids>
    <w:rsidRoot w:val="19076E1D"/>
    <w:rsid w:val="000429DB"/>
    <w:rsid w:val="00066060"/>
    <w:rsid w:val="008110CC"/>
    <w:rsid w:val="00C04C9A"/>
    <w:rsid w:val="00CB427A"/>
    <w:rsid w:val="00F500B9"/>
    <w:rsid w:val="01992CBB"/>
    <w:rsid w:val="022502CD"/>
    <w:rsid w:val="05EB1609"/>
    <w:rsid w:val="08EE0B31"/>
    <w:rsid w:val="0A326819"/>
    <w:rsid w:val="0CBF216E"/>
    <w:rsid w:val="0FCB58D0"/>
    <w:rsid w:val="11427CB1"/>
    <w:rsid w:val="139E3D52"/>
    <w:rsid w:val="14A07EE6"/>
    <w:rsid w:val="162B4B72"/>
    <w:rsid w:val="18AC060B"/>
    <w:rsid w:val="19076E1D"/>
    <w:rsid w:val="19544016"/>
    <w:rsid w:val="1EBD751D"/>
    <w:rsid w:val="1F117155"/>
    <w:rsid w:val="204B45CE"/>
    <w:rsid w:val="25705B71"/>
    <w:rsid w:val="2D4F2EA5"/>
    <w:rsid w:val="2DBB222D"/>
    <w:rsid w:val="2E211491"/>
    <w:rsid w:val="31D40AAE"/>
    <w:rsid w:val="3BD871B8"/>
    <w:rsid w:val="3CF55A87"/>
    <w:rsid w:val="429A727D"/>
    <w:rsid w:val="4C0B7195"/>
    <w:rsid w:val="4D3B293C"/>
    <w:rsid w:val="51B40312"/>
    <w:rsid w:val="57CC144D"/>
    <w:rsid w:val="582B0E09"/>
    <w:rsid w:val="5F412AB4"/>
    <w:rsid w:val="61F32950"/>
    <w:rsid w:val="62B20F12"/>
    <w:rsid w:val="641E7445"/>
    <w:rsid w:val="644E0915"/>
    <w:rsid w:val="679A4C3E"/>
    <w:rsid w:val="71452C49"/>
    <w:rsid w:val="73224148"/>
    <w:rsid w:val="776E35B0"/>
    <w:rsid w:val="7B4102B0"/>
    <w:rsid w:val="7F0C59E2"/>
    <w:rsid w:val="7FDB173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4">
    <w:name w:val="heading 3"/>
    <w:basedOn w:val="1"/>
    <w:next w:val="1"/>
    <w:unhideWhenUsed/>
    <w:qFormat/>
    <w:locked/>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5">
    <w:name w:val="footer"/>
    <w:basedOn w:val="1"/>
    <w:link w:val="10"/>
    <w:qFormat/>
    <w:uiPriority w:val="99"/>
    <w:pPr>
      <w:tabs>
        <w:tab w:val="center" w:pos="4153"/>
        <w:tab w:val="right" w:pos="8306"/>
      </w:tabs>
      <w:snapToGrid w:val="0"/>
      <w:jc w:val="left"/>
    </w:pPr>
    <w:rPr>
      <w:sz w:val="18"/>
      <w:szCs w:val="18"/>
    </w:rPr>
  </w:style>
  <w:style w:type="character" w:styleId="8">
    <w:name w:val="page number"/>
    <w:basedOn w:val="7"/>
    <w:qFormat/>
    <w:uiPriority w:val="99"/>
  </w:style>
  <w:style w:type="character" w:customStyle="1" w:styleId="9">
    <w:name w:val="Heading 2 Char"/>
    <w:basedOn w:val="7"/>
    <w:link w:val="3"/>
    <w:semiHidden/>
    <w:qFormat/>
    <w:uiPriority w:val="9"/>
    <w:rPr>
      <w:rFonts w:asciiTheme="majorHAnsi" w:hAnsiTheme="majorHAnsi" w:eastAsiaTheme="majorEastAsia" w:cstheme="majorBidi"/>
      <w:b/>
      <w:bCs/>
      <w:sz w:val="32"/>
      <w:szCs w:val="32"/>
    </w:rPr>
  </w:style>
  <w:style w:type="character" w:customStyle="1" w:styleId="10">
    <w:name w:val="Footer Char"/>
    <w:basedOn w:val="7"/>
    <w:link w:val="5"/>
    <w:semiHidden/>
    <w:qFormat/>
    <w:uiPriority w:val="99"/>
    <w:rPr>
      <w:rFonts w:cs="Calibri"/>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微软中国</Company>
  <Pages>9</Pages>
  <Words>2514</Words>
  <Characters>2654</Characters>
  <Lines>0</Lines>
  <Paragraphs>0</Paragraphs>
  <TotalTime>1</TotalTime>
  <ScaleCrop>false</ScaleCrop>
  <LinksUpToDate>false</LinksUpToDate>
  <CharactersWithSpaces>2693</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Can't stop.Ribbon</cp:lastModifiedBy>
  <dcterms:modified xsi:type="dcterms:W3CDTF">2022-08-25T01:47:10Z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4A017EC0043B4D778015D51F199C61EB</vt:lpwstr>
  </property>
</Properties>
</file>